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DD" w:rsidRPr="001829DD" w:rsidRDefault="001829DD" w:rsidP="00603FF5">
      <w:pPr>
        <w:jc w:val="center"/>
        <w:rPr>
          <w:b/>
          <w:color w:val="FF0000"/>
          <w:sz w:val="30"/>
          <w:szCs w:val="30"/>
        </w:rPr>
      </w:pPr>
      <w:r w:rsidRPr="001829DD">
        <w:rPr>
          <w:b/>
          <w:color w:val="FF0000"/>
          <w:sz w:val="30"/>
          <w:szCs w:val="30"/>
        </w:rPr>
        <w:t>Verfahrensanweisung</w:t>
      </w:r>
      <w:r w:rsidR="00EE134C">
        <w:rPr>
          <w:b/>
          <w:color w:val="FF0000"/>
          <w:sz w:val="30"/>
          <w:szCs w:val="30"/>
        </w:rPr>
        <w:t xml:space="preserve"> „Datenpanne“</w:t>
      </w:r>
    </w:p>
    <w:p w:rsidR="00D82631" w:rsidRDefault="00D82631" w:rsidP="00A216E0">
      <w:pPr>
        <w:pStyle w:val="Listenabsatz"/>
        <w:ind w:left="360"/>
        <w:rPr>
          <w:rFonts w:cs="Arial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105680" w:rsidRPr="00CA2EF9" w:rsidTr="0045593B">
        <w:trPr>
          <w:trHeight w:val="282"/>
        </w:trPr>
        <w:tc>
          <w:tcPr>
            <w:tcW w:w="9781" w:type="dxa"/>
            <w:shd w:val="clear" w:color="auto" w:fill="BFBFBF"/>
          </w:tcPr>
          <w:p w:rsidR="00105680" w:rsidRPr="00CA2EF9" w:rsidRDefault="009A414C" w:rsidP="00D2339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Ziel und Zweck des Verfahrens</w:t>
            </w:r>
          </w:p>
        </w:tc>
      </w:tr>
      <w:tr w:rsidR="00105680" w:rsidRPr="00BF4B1B" w:rsidTr="0045593B">
        <w:trPr>
          <w:trHeight w:val="716"/>
        </w:trPr>
        <w:tc>
          <w:tcPr>
            <w:tcW w:w="9781" w:type="dxa"/>
          </w:tcPr>
          <w:p w:rsidR="0048126B" w:rsidRDefault="004F31CF" w:rsidP="004F31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Ziel: Einhaltung der gesetzlichen Bestimmung aus der Datenschutzgrundverordnung (DS-GVO) und Abwendung oder Minimierung von Schäden für </w:t>
            </w:r>
            <w:r w:rsidR="0048126B">
              <w:rPr>
                <w:rFonts w:cs="Arial"/>
              </w:rPr>
              <w:t xml:space="preserve">den Verantwortlichen für die Datenverarbeitung und den / </w:t>
            </w:r>
            <w:r>
              <w:rPr>
                <w:rFonts w:cs="Arial"/>
              </w:rPr>
              <w:t>die Betroffenen</w:t>
            </w:r>
            <w:r w:rsidR="00BB342D">
              <w:rPr>
                <w:rFonts w:cs="Arial"/>
              </w:rPr>
              <w:t>.</w:t>
            </w:r>
            <w:r w:rsidR="0048126B">
              <w:rPr>
                <w:rFonts w:cs="Arial"/>
              </w:rPr>
              <w:t xml:space="preserve"> </w:t>
            </w:r>
          </w:p>
          <w:p w:rsidR="004F31CF" w:rsidRDefault="0048126B" w:rsidP="004F31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Handreichung für den DSB für die Durchführung des Verfahrens.</w:t>
            </w:r>
          </w:p>
          <w:p w:rsidR="0048126B" w:rsidRDefault="0048126B" w:rsidP="004F31CF">
            <w:pPr>
              <w:spacing w:after="0" w:line="240" w:lineRule="auto"/>
              <w:rPr>
                <w:rFonts w:cs="Arial"/>
              </w:rPr>
            </w:pPr>
          </w:p>
          <w:p w:rsidR="00105680" w:rsidRPr="003E189E" w:rsidRDefault="004F31CF" w:rsidP="004F31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Koordinierte</w:t>
            </w:r>
            <w:r w:rsidR="003E18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Durchführung</w:t>
            </w:r>
            <w:r w:rsidR="003E18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des Verfahrens </w:t>
            </w:r>
            <w:r w:rsidR="0048126B">
              <w:rPr>
                <w:rFonts w:cs="Arial"/>
              </w:rPr>
              <w:t xml:space="preserve">durch den DSB </w:t>
            </w:r>
            <w:r w:rsidR="00BB342D">
              <w:rPr>
                <w:rFonts w:cs="Arial"/>
              </w:rPr>
              <w:t xml:space="preserve">ggf. </w:t>
            </w:r>
            <w:r>
              <w:rPr>
                <w:rFonts w:cs="Arial"/>
              </w:rPr>
              <w:t xml:space="preserve">mit </w:t>
            </w:r>
            <w:r w:rsidR="001D5620">
              <w:rPr>
                <w:rFonts w:cs="Arial"/>
              </w:rPr>
              <w:t xml:space="preserve">der Meldepflicht an die zuständige Aufsichtsbehörde und </w:t>
            </w:r>
            <w:r w:rsidR="0048126B">
              <w:rPr>
                <w:rFonts w:cs="Arial"/>
              </w:rPr>
              <w:t>ggf. die Benachrichtigung der b</w:t>
            </w:r>
            <w:r w:rsidR="001D5620">
              <w:rPr>
                <w:rFonts w:cs="Arial"/>
              </w:rPr>
              <w:t>etroffenen</w:t>
            </w:r>
            <w:r w:rsidR="0048126B">
              <w:rPr>
                <w:rFonts w:cs="Arial"/>
              </w:rPr>
              <w:t>, natürlichen Personen</w:t>
            </w:r>
            <w:r w:rsidR="003E189E">
              <w:rPr>
                <w:rFonts w:cs="Arial"/>
              </w:rPr>
              <w:t>.</w:t>
            </w:r>
            <w:r w:rsidR="001D5620">
              <w:rPr>
                <w:rFonts w:cs="Arial"/>
              </w:rPr>
              <w:t xml:space="preserve"> </w:t>
            </w:r>
          </w:p>
        </w:tc>
      </w:tr>
    </w:tbl>
    <w:p w:rsidR="00105680" w:rsidRDefault="00105680" w:rsidP="00A216E0">
      <w:pPr>
        <w:pStyle w:val="Listenabsatz"/>
        <w:ind w:left="360"/>
        <w:rPr>
          <w:rFonts w:cs="Arial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5840"/>
      </w:tblGrid>
      <w:tr w:rsidR="00105680" w:rsidRPr="00CA2EF9" w:rsidTr="0045593B">
        <w:tc>
          <w:tcPr>
            <w:tcW w:w="9781" w:type="dxa"/>
            <w:gridSpan w:val="2"/>
            <w:shd w:val="clear" w:color="auto" w:fill="BFBFBF"/>
            <w:vAlign w:val="center"/>
          </w:tcPr>
          <w:p w:rsidR="00105680" w:rsidRPr="00CA2EF9" w:rsidRDefault="00D82631" w:rsidP="00D8263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Geltungsbereich </w:t>
            </w:r>
            <w:r w:rsidR="009A414C">
              <w:rPr>
                <w:rFonts w:cs="Arial"/>
                <w:b/>
                <w:sz w:val="28"/>
                <w:szCs w:val="28"/>
              </w:rPr>
              <w:t>und Befugnisse</w:t>
            </w:r>
            <w:r w:rsidR="00105680" w:rsidRPr="00CA2EF9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105680" w:rsidRPr="004A0257" w:rsidTr="0045593B">
        <w:tc>
          <w:tcPr>
            <w:tcW w:w="3941" w:type="dxa"/>
            <w:shd w:val="clear" w:color="auto" w:fill="BFBFBF"/>
          </w:tcPr>
          <w:p w:rsidR="00105680" w:rsidRPr="00CA2EF9" w:rsidRDefault="009A414C" w:rsidP="00D233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Geltungsbereich</w:t>
            </w:r>
          </w:p>
        </w:tc>
        <w:tc>
          <w:tcPr>
            <w:tcW w:w="5840" w:type="dxa"/>
          </w:tcPr>
          <w:p w:rsidR="00EF0DD8" w:rsidRPr="004A0257" w:rsidRDefault="002866ED" w:rsidP="004F31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Alle Einrichtungen des DRK </w:t>
            </w:r>
          </w:p>
        </w:tc>
      </w:tr>
      <w:tr w:rsidR="00105680" w:rsidRPr="004A0257" w:rsidTr="0045593B">
        <w:tc>
          <w:tcPr>
            <w:tcW w:w="3941" w:type="dxa"/>
            <w:shd w:val="clear" w:color="auto" w:fill="BFBFBF"/>
          </w:tcPr>
          <w:p w:rsidR="00105680" w:rsidRPr="00CA2EF9" w:rsidRDefault="009A414C" w:rsidP="00D233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Mitarbeit und Befugnisse</w:t>
            </w:r>
          </w:p>
        </w:tc>
        <w:tc>
          <w:tcPr>
            <w:tcW w:w="5840" w:type="dxa"/>
          </w:tcPr>
          <w:p w:rsidR="00A71798" w:rsidRDefault="003E189E" w:rsidP="003E189E">
            <w:pPr>
              <w:spacing w:after="0" w:line="240" w:lineRule="auto"/>
              <w:rPr>
                <w:rFonts w:cs="Arial"/>
              </w:rPr>
            </w:pPr>
            <w:r w:rsidRPr="003E189E">
              <w:rPr>
                <w:rFonts w:cs="Arial"/>
              </w:rPr>
              <w:t>Der Datenschutzbeauftragte (DSB) koordiniert das Verfahren</w:t>
            </w:r>
            <w:r w:rsidR="00A34388">
              <w:rPr>
                <w:rFonts w:cs="Arial"/>
              </w:rPr>
              <w:t>.</w:t>
            </w:r>
          </w:p>
          <w:p w:rsidR="00A34388" w:rsidRPr="004A0257" w:rsidRDefault="00A34388" w:rsidP="004F31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Pr="003E189E">
              <w:rPr>
                <w:rFonts w:cs="Arial"/>
              </w:rPr>
              <w:t xml:space="preserve"> Mitarbeiter aller betroffenen Fachbereiche</w:t>
            </w:r>
            <w:r>
              <w:rPr>
                <w:rFonts w:cs="Arial"/>
              </w:rPr>
              <w:t xml:space="preserve"> unterstützen </w:t>
            </w:r>
            <w:r w:rsidR="004F31CF">
              <w:rPr>
                <w:rFonts w:cs="Arial"/>
              </w:rPr>
              <w:t xml:space="preserve">den DSB </w:t>
            </w:r>
            <w:r>
              <w:rPr>
                <w:rFonts w:cs="Arial"/>
              </w:rPr>
              <w:t xml:space="preserve">bei der </w:t>
            </w:r>
            <w:r w:rsidR="004F31CF">
              <w:rPr>
                <w:rFonts w:cs="Arial"/>
              </w:rPr>
              <w:t>Durchführung.</w:t>
            </w:r>
          </w:p>
        </w:tc>
      </w:tr>
    </w:tbl>
    <w:p w:rsidR="00105680" w:rsidRDefault="00105680" w:rsidP="00A216E0">
      <w:pPr>
        <w:pStyle w:val="Listenabsatz"/>
        <w:ind w:left="360"/>
        <w:rPr>
          <w:rFonts w:cs="Arial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5840"/>
      </w:tblGrid>
      <w:tr w:rsidR="009A414C" w:rsidRPr="00CA2EF9" w:rsidTr="0045593B">
        <w:tc>
          <w:tcPr>
            <w:tcW w:w="9781" w:type="dxa"/>
            <w:gridSpan w:val="2"/>
            <w:shd w:val="clear" w:color="auto" w:fill="BFBFBF"/>
            <w:vAlign w:val="center"/>
          </w:tcPr>
          <w:p w:rsidR="009A414C" w:rsidRPr="00CA2EF9" w:rsidRDefault="009A414C" w:rsidP="00D2339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Eingaben und strukturelle Voraussetzungen</w:t>
            </w:r>
            <w:r w:rsidRPr="00CA2EF9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9A414C" w:rsidTr="0045593B">
        <w:tc>
          <w:tcPr>
            <w:tcW w:w="3941" w:type="dxa"/>
            <w:shd w:val="clear" w:color="auto" w:fill="BFBFBF"/>
          </w:tcPr>
          <w:p w:rsidR="009A414C" w:rsidRDefault="009A414C" w:rsidP="00D2339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Eingaben</w:t>
            </w:r>
          </w:p>
        </w:tc>
        <w:tc>
          <w:tcPr>
            <w:tcW w:w="5840" w:type="dxa"/>
          </w:tcPr>
          <w:p w:rsidR="009A414C" w:rsidRDefault="00BB342D" w:rsidP="00BB342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Eine Schutzverletzung</w:t>
            </w:r>
            <w:r w:rsidR="003E18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personenbezogener Daten (pbD) </w:t>
            </w:r>
            <w:r w:rsidR="003E189E">
              <w:rPr>
                <w:rFonts w:cs="Arial"/>
              </w:rPr>
              <w:t xml:space="preserve">liegt vor und wurde </w:t>
            </w:r>
            <w:r>
              <w:rPr>
                <w:rFonts w:cs="Arial"/>
              </w:rPr>
              <w:t>erkannt</w:t>
            </w:r>
            <w:r w:rsidR="00E27211">
              <w:rPr>
                <w:rFonts w:cs="Arial"/>
              </w:rPr>
              <w:t>.</w:t>
            </w:r>
          </w:p>
        </w:tc>
      </w:tr>
      <w:tr w:rsidR="009A414C" w:rsidRPr="004A0257" w:rsidTr="0045593B">
        <w:tc>
          <w:tcPr>
            <w:tcW w:w="3941" w:type="dxa"/>
            <w:shd w:val="clear" w:color="auto" w:fill="BFBFBF"/>
          </w:tcPr>
          <w:p w:rsidR="009A414C" w:rsidRPr="00CA2EF9" w:rsidRDefault="009A414C" w:rsidP="009A414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Strukturelle Voraussetzungen</w:t>
            </w:r>
          </w:p>
        </w:tc>
        <w:tc>
          <w:tcPr>
            <w:tcW w:w="5840" w:type="dxa"/>
          </w:tcPr>
          <w:p w:rsidR="009A414C" w:rsidRPr="004A0257" w:rsidRDefault="00BB342D" w:rsidP="00965EF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Softwarepanne, Hackerangriff oder organisatorisches oder menschliches </w:t>
            </w:r>
            <w:r w:rsidR="00EE4CA5">
              <w:rPr>
                <w:rFonts w:cs="Arial"/>
              </w:rPr>
              <w:t>Versagen liegt vor.</w:t>
            </w:r>
          </w:p>
        </w:tc>
      </w:tr>
    </w:tbl>
    <w:p w:rsidR="009A414C" w:rsidRDefault="009A414C" w:rsidP="00A216E0">
      <w:pPr>
        <w:pStyle w:val="Listenabsatz"/>
        <w:ind w:left="360"/>
        <w:rPr>
          <w:rFonts w:cs="Arial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F520EB" w:rsidRPr="00CA2EF9" w:rsidTr="0045593B">
        <w:tc>
          <w:tcPr>
            <w:tcW w:w="9781" w:type="dxa"/>
            <w:shd w:val="clear" w:color="auto" w:fill="BFBFBF"/>
            <w:vAlign w:val="center"/>
          </w:tcPr>
          <w:p w:rsidR="00F520EB" w:rsidRPr="00CA2EF9" w:rsidRDefault="0045593B" w:rsidP="00A71798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Beschreibung</w:t>
            </w:r>
            <w:r w:rsidR="00F520EB" w:rsidRPr="00CA2EF9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45593B" w:rsidRPr="00CA2EF9" w:rsidTr="0045593B">
        <w:tc>
          <w:tcPr>
            <w:tcW w:w="9781" w:type="dxa"/>
            <w:shd w:val="clear" w:color="auto" w:fill="auto"/>
          </w:tcPr>
          <w:p w:rsidR="00265227" w:rsidRDefault="00265227" w:rsidP="001B55C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Gesetzliche Grundlage</w:t>
            </w:r>
          </w:p>
          <w:p w:rsidR="00265227" w:rsidRPr="00265227" w:rsidRDefault="00265227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Die gesetzliche Grundlage für die Durchführung des Verfahrens bei einer Schutzverletzung von personenbezogenen Daten (pbD) ist in Art. 33 und 34, sowie E</w:t>
            </w:r>
            <w:r w:rsidR="00876C0B">
              <w:rPr>
                <w:rFonts w:cs="Arial"/>
              </w:rPr>
              <w:t>rw</w:t>
            </w:r>
            <w:r>
              <w:rPr>
                <w:rFonts w:cs="Arial"/>
              </w:rPr>
              <w:t>G</w:t>
            </w:r>
            <w:r w:rsidR="002866ED">
              <w:rPr>
                <w:rFonts w:cs="Arial"/>
              </w:rPr>
              <w:t xml:space="preserve"> (Erwägungsgrund)</w:t>
            </w:r>
            <w:r>
              <w:rPr>
                <w:rFonts w:cs="Arial"/>
              </w:rPr>
              <w:t xml:space="preserve"> 85-88 DS-GVO verankert.</w:t>
            </w:r>
          </w:p>
          <w:p w:rsidR="00265227" w:rsidRPr="00265227" w:rsidRDefault="00265227" w:rsidP="001B55CA">
            <w:pPr>
              <w:spacing w:after="0" w:line="240" w:lineRule="auto"/>
              <w:rPr>
                <w:rFonts w:cs="Arial"/>
              </w:rPr>
            </w:pPr>
          </w:p>
          <w:p w:rsidR="00125694" w:rsidRPr="00125694" w:rsidRDefault="00125694" w:rsidP="001B55C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Meldepflichtige Vorfälle</w:t>
            </w:r>
          </w:p>
          <w:p w:rsidR="00BB342D" w:rsidRDefault="00BB342D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Im weitesten Sinne liegt </w:t>
            </w:r>
            <w:r w:rsidR="00576B57">
              <w:rPr>
                <w:rFonts w:cs="Arial"/>
              </w:rPr>
              <w:t xml:space="preserve">bei der Schutzverletzung von </w:t>
            </w:r>
            <w:r w:rsidR="00265227">
              <w:rPr>
                <w:rFonts w:cs="Arial"/>
              </w:rPr>
              <w:t>pbD</w:t>
            </w:r>
            <w:r w:rsidR="00576B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eine Verletzung der Sicherheit der Datenverarbeitung vor.</w:t>
            </w:r>
            <w:r w:rsidR="00576B57">
              <w:rPr>
                <w:rFonts w:cs="Arial"/>
              </w:rPr>
              <w:t xml:space="preserve"> Nach Art. 4 Nr. 12 DS-GVO </w:t>
            </w:r>
            <w:r w:rsidR="00125694">
              <w:rPr>
                <w:rFonts w:cs="Arial"/>
              </w:rPr>
              <w:t>handelt es sich um</w:t>
            </w:r>
            <w:r w:rsidR="00576B57">
              <w:rPr>
                <w:rFonts w:cs="Arial"/>
              </w:rPr>
              <w:t xml:space="preserve"> fol</w:t>
            </w:r>
            <w:r w:rsidR="00125694">
              <w:rPr>
                <w:rFonts w:cs="Arial"/>
              </w:rPr>
              <w:t>gende Verletzungssituationen</w:t>
            </w:r>
            <w:r w:rsidR="00576B57">
              <w:rPr>
                <w:rFonts w:cs="Arial"/>
              </w:rPr>
              <w:t>:</w:t>
            </w:r>
          </w:p>
          <w:p w:rsidR="00576B57" w:rsidRPr="009078DA" w:rsidRDefault="00576B57" w:rsidP="009078DA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078DA">
              <w:rPr>
                <w:rFonts w:cs="Arial"/>
              </w:rPr>
              <w:t>Vernichtung pbD (z.B. Datenlöschung)</w:t>
            </w:r>
          </w:p>
          <w:p w:rsidR="00576B57" w:rsidRPr="009078DA" w:rsidRDefault="00576B57" w:rsidP="009078DA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078DA">
              <w:rPr>
                <w:rFonts w:cs="Arial"/>
              </w:rPr>
              <w:t>Verlust (z.B. Diebstahl oder Zerstörung von Speichermedien)</w:t>
            </w:r>
          </w:p>
          <w:p w:rsidR="00576B57" w:rsidRPr="009078DA" w:rsidRDefault="00576B57" w:rsidP="009078DA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078DA">
              <w:rPr>
                <w:rFonts w:cs="Arial"/>
              </w:rPr>
              <w:t>Verän</w:t>
            </w:r>
            <w:r w:rsidR="009078DA" w:rsidRPr="009078DA">
              <w:rPr>
                <w:rFonts w:cs="Arial"/>
              </w:rPr>
              <w:t>derung</w:t>
            </w:r>
            <w:r w:rsidR="00125694">
              <w:rPr>
                <w:rFonts w:cs="Arial"/>
              </w:rPr>
              <w:t xml:space="preserve"> (z.B. von Datensatzinhalten)</w:t>
            </w:r>
          </w:p>
          <w:p w:rsidR="009078DA" w:rsidRPr="009078DA" w:rsidRDefault="009078DA" w:rsidP="009078DA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078DA">
              <w:rPr>
                <w:rFonts w:cs="Arial"/>
              </w:rPr>
              <w:t>Unbefugte Offenlegung (z.B. unbefugte Dritte erhalten Daten</w:t>
            </w:r>
            <w:r w:rsidR="00125694">
              <w:rPr>
                <w:rFonts w:cs="Arial"/>
              </w:rPr>
              <w:t xml:space="preserve"> ohne Erlaubnistatbestand</w:t>
            </w:r>
            <w:r w:rsidRPr="009078DA">
              <w:rPr>
                <w:rFonts w:cs="Arial"/>
              </w:rPr>
              <w:t>)</w:t>
            </w:r>
          </w:p>
          <w:p w:rsidR="009078DA" w:rsidRPr="009078DA" w:rsidRDefault="009078DA" w:rsidP="009078DA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9078DA">
              <w:rPr>
                <w:rFonts w:cs="Arial"/>
              </w:rPr>
              <w:t>Unbefugter Zugang (z.B. durch falsche Berechtigungskonzepte)</w:t>
            </w:r>
          </w:p>
          <w:p w:rsidR="00BB342D" w:rsidRDefault="00BB342D" w:rsidP="001B55CA">
            <w:pPr>
              <w:spacing w:after="0" w:line="240" w:lineRule="auto"/>
              <w:rPr>
                <w:rFonts w:cs="Arial"/>
              </w:rPr>
            </w:pPr>
          </w:p>
          <w:p w:rsidR="00125694" w:rsidRDefault="00125694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Meldepflicht tritt ein, wenn Schutzmaßnahmen nicht wirkungsvoll waren und dadurch die Schutzvorgaben der DS-GVO verletzt wurden. Für die Meldepflicht ist es unerheblich, ob eine Softwarepanne </w:t>
            </w:r>
            <w:r w:rsidR="00DD5184">
              <w:rPr>
                <w:rFonts w:cs="Arial"/>
              </w:rPr>
              <w:t>zur Schutzverletzung geführt hat oder ein Hackerangriff dafür verantwortlich ist. Die frühere Beschränkung auf bestimmte Datenkategorien besteht nicht mehr – alle pbD sind in die Meldepflicht eingeschlossen, unabhängig davon, ob die Schutzverletzung verschuldet, unabsichtlich oder widerrechtlich erfolgt ist.</w:t>
            </w:r>
          </w:p>
          <w:p w:rsidR="00DD5184" w:rsidRDefault="00DD5184" w:rsidP="001B55CA">
            <w:pPr>
              <w:spacing w:after="0" w:line="240" w:lineRule="auto"/>
              <w:rPr>
                <w:rFonts w:cs="Arial"/>
              </w:rPr>
            </w:pPr>
          </w:p>
          <w:p w:rsidR="00DD5184" w:rsidRDefault="00DD5184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Nur eine infrastrukturelle Verletzung der IT-Sicherheit ohne Personenbezug ist von der DS-GVO nicht erfasst.</w:t>
            </w:r>
          </w:p>
          <w:p w:rsidR="003C3F5B" w:rsidRDefault="003C3F5B" w:rsidP="001B55CA">
            <w:pPr>
              <w:spacing w:after="0" w:line="240" w:lineRule="auto"/>
              <w:rPr>
                <w:rFonts w:cs="Arial"/>
              </w:rPr>
            </w:pPr>
          </w:p>
          <w:p w:rsidR="003C3F5B" w:rsidRDefault="003C3F5B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Eine Meldung an die Aufsichtsbehörde erfolgt nur dann, wenn es gesichert zu einer Schutzverletzung pbD gekommen ist. Eine vage Vermutung oder der bloße Verdacht reichen nicht aus.</w:t>
            </w:r>
          </w:p>
          <w:p w:rsidR="00265227" w:rsidRDefault="00265227" w:rsidP="001B55CA">
            <w:pPr>
              <w:spacing w:after="0" w:line="240" w:lineRule="auto"/>
              <w:rPr>
                <w:rFonts w:cs="Arial"/>
              </w:rPr>
            </w:pPr>
          </w:p>
          <w:p w:rsidR="00265227" w:rsidRDefault="00265227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Auch der Auftragsverarbeiter ist in der Pflicht, dem Verantwortlichen eine Schutzverletzung pbD unverzüglich zu melden (Art. 33 Abs. 2 DS-GVO).</w:t>
            </w:r>
            <w:r w:rsidR="00130543">
              <w:rPr>
                <w:rFonts w:cs="Arial"/>
              </w:rPr>
              <w:t xml:space="preserve"> Der Auftragsverarbeiter unterstützt den Verantwortlichen. Da der Umfang der Unterstützungsleistung nicht in der DS-GVO geregelt ist empfiehlt sich eine Konkretisierung im Auftragsverarbeitungsvertrag. Regelungsgegenstände sollten sein:</w:t>
            </w:r>
          </w:p>
          <w:p w:rsidR="00130543" w:rsidRPr="00130543" w:rsidRDefault="00130543" w:rsidP="00130543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130543">
              <w:rPr>
                <w:rFonts w:cs="Arial"/>
              </w:rPr>
              <w:t>Umfang der Unterstützungspflicht</w:t>
            </w:r>
          </w:p>
          <w:p w:rsidR="00130543" w:rsidRPr="00130543" w:rsidRDefault="00130543" w:rsidP="00130543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130543">
              <w:rPr>
                <w:rFonts w:cs="Arial"/>
              </w:rPr>
              <w:t>Bereitzustellende Informationen</w:t>
            </w:r>
          </w:p>
          <w:p w:rsidR="00130543" w:rsidRPr="00130543" w:rsidRDefault="00130543" w:rsidP="00130543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130543">
              <w:rPr>
                <w:rFonts w:cs="Arial"/>
              </w:rPr>
              <w:t>Zeitpunkt und Frist für die Mitteilung</w:t>
            </w:r>
          </w:p>
          <w:p w:rsidR="00130543" w:rsidRPr="00130543" w:rsidRDefault="00130543" w:rsidP="00130543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Arial"/>
              </w:rPr>
            </w:pPr>
            <w:r w:rsidRPr="00130543">
              <w:rPr>
                <w:rFonts w:cs="Arial"/>
              </w:rPr>
              <w:t>Verschwiegenheitsvereinbarung</w:t>
            </w:r>
          </w:p>
          <w:p w:rsidR="00125694" w:rsidRDefault="00125694" w:rsidP="001B55CA">
            <w:pPr>
              <w:spacing w:after="0" w:line="240" w:lineRule="auto"/>
              <w:rPr>
                <w:rFonts w:cs="Arial"/>
              </w:rPr>
            </w:pPr>
          </w:p>
          <w:p w:rsidR="001A09E9" w:rsidRPr="001A09E9" w:rsidRDefault="001A09E9" w:rsidP="001B55CA">
            <w:pPr>
              <w:spacing w:after="0" w:line="240" w:lineRule="auto"/>
              <w:rPr>
                <w:rFonts w:cs="Arial"/>
                <w:b/>
              </w:rPr>
            </w:pPr>
            <w:r w:rsidRPr="001A09E9">
              <w:rPr>
                <w:rFonts w:cs="Arial"/>
                <w:b/>
              </w:rPr>
              <w:t>Beurteilung des Vorfalls</w:t>
            </w:r>
          </w:p>
          <w:p w:rsidR="001A09E9" w:rsidRDefault="001A09E9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Für eine Meldung der Schutzverletzung an die Aufsichtsbehörde und zusätzlich an </w:t>
            </w:r>
            <w:r w:rsidR="007E1311">
              <w:rPr>
                <w:rFonts w:cs="Arial"/>
              </w:rPr>
              <w:t xml:space="preserve">den / </w:t>
            </w:r>
            <w:r>
              <w:rPr>
                <w:rFonts w:cs="Arial"/>
              </w:rPr>
              <w:t>d</w:t>
            </w:r>
            <w:r w:rsidR="007E1311">
              <w:rPr>
                <w:rFonts w:cs="Arial"/>
              </w:rPr>
              <w:t>ie Betroffenen</w:t>
            </w:r>
            <w:r>
              <w:rPr>
                <w:rFonts w:cs="Arial"/>
              </w:rPr>
              <w:t xml:space="preserve"> ist nicht notwendig, wenn die Schutzverletzung „</w:t>
            </w:r>
            <w:r w:rsidRPr="001A09E9">
              <w:rPr>
                <w:rFonts w:cs="Arial"/>
              </w:rPr>
              <w:t>nicht zu einem Risiko für die Rechte und Freiheiten natürlicher Personen führt</w:t>
            </w:r>
            <w:r>
              <w:rPr>
                <w:rFonts w:cs="Arial"/>
              </w:rPr>
              <w:t xml:space="preserve">“ (Art. 33 Abs. 1 </w:t>
            </w:r>
            <w:r w:rsidR="00603AA2">
              <w:rPr>
                <w:rFonts w:cs="Arial"/>
              </w:rPr>
              <w:t>und E</w:t>
            </w:r>
            <w:r w:rsidR="000F3C52">
              <w:rPr>
                <w:rFonts w:cs="Arial"/>
              </w:rPr>
              <w:t>rw</w:t>
            </w:r>
            <w:r w:rsidR="00603AA2">
              <w:rPr>
                <w:rFonts w:cs="Arial"/>
              </w:rPr>
              <w:t xml:space="preserve">G 75 </w:t>
            </w:r>
            <w:r>
              <w:rPr>
                <w:rFonts w:cs="Arial"/>
              </w:rPr>
              <w:t>DS-GVO</w:t>
            </w:r>
            <w:r w:rsidR="00603AA2">
              <w:rPr>
                <w:rFonts w:cs="Arial"/>
              </w:rPr>
              <w:t xml:space="preserve"> zu den Risiken für die Rechte und Freiheiten natürlicher Personen</w:t>
            </w:r>
            <w:r>
              <w:rPr>
                <w:rFonts w:cs="Arial"/>
              </w:rPr>
              <w:t>)</w:t>
            </w:r>
            <w:r w:rsidR="00603AA2">
              <w:rPr>
                <w:rFonts w:cs="Arial"/>
              </w:rPr>
              <w:t>;</w:t>
            </w:r>
            <w:r w:rsidR="007E1311">
              <w:rPr>
                <w:rFonts w:cs="Arial"/>
              </w:rPr>
              <w:t xml:space="preserve"> Zur Beurteilung des Risikos nach der DS-GVO beachten Sie bitte </w:t>
            </w:r>
            <w:r w:rsidR="00603AA2">
              <w:rPr>
                <w:rFonts w:cs="Arial"/>
              </w:rPr>
              <w:t xml:space="preserve">das Vorgehen </w:t>
            </w:r>
            <w:r w:rsidR="00C03FF9">
              <w:rPr>
                <w:rFonts w:cs="Arial"/>
              </w:rPr>
              <w:t>in der entsprechenden Handlungsanleitung</w:t>
            </w:r>
            <w:r w:rsidR="007E1311">
              <w:rPr>
                <w:rFonts w:cs="Arial"/>
              </w:rPr>
              <w:t>.</w:t>
            </w:r>
          </w:p>
          <w:p w:rsidR="00A77D82" w:rsidRDefault="00A77D82" w:rsidP="001B55CA">
            <w:pPr>
              <w:spacing w:after="0" w:line="240" w:lineRule="auto"/>
              <w:rPr>
                <w:rFonts w:cs="Arial"/>
              </w:rPr>
            </w:pPr>
          </w:p>
          <w:p w:rsidR="00576B57" w:rsidRPr="00265227" w:rsidRDefault="00265227" w:rsidP="00576B57">
            <w:pPr>
              <w:spacing w:after="0" w:line="240" w:lineRule="auto"/>
              <w:rPr>
                <w:rFonts w:cs="Arial"/>
                <w:b/>
              </w:rPr>
            </w:pPr>
            <w:r w:rsidRPr="00265227">
              <w:rPr>
                <w:rFonts w:cs="Arial"/>
                <w:b/>
              </w:rPr>
              <w:t>Meldung gegenüber der Aufsichtsbehörde</w:t>
            </w:r>
          </w:p>
          <w:p w:rsidR="00265227" w:rsidRDefault="00130543" w:rsidP="00576B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Für die Meldung einer Schutzverletzung pbD müssen nicht sofort alle Informationen bereitstehen. Art. 33 Abs. 3 DS-GVO gestattet ein schrittweises Vorgehen. Nach der ersten Meldung erfolgen die weiteren Meldungen</w:t>
            </w:r>
            <w:r w:rsidR="00C016F9">
              <w:rPr>
                <w:rFonts w:cs="Arial"/>
              </w:rPr>
              <w:t xml:space="preserve"> bezogen auf die Erstmeldung zum Zeitpunkt</w:t>
            </w:r>
            <w:r>
              <w:rPr>
                <w:rFonts w:cs="Arial"/>
              </w:rPr>
              <w:t xml:space="preserve">, wenn neue Informationen bekannt sind bis schließlich alle </w:t>
            </w:r>
            <w:r w:rsidR="009B7509">
              <w:rPr>
                <w:rFonts w:cs="Arial"/>
              </w:rPr>
              <w:t xml:space="preserve">zu meldenden </w:t>
            </w:r>
            <w:r>
              <w:rPr>
                <w:rFonts w:cs="Arial"/>
              </w:rPr>
              <w:t xml:space="preserve">Informationen gemäß Art. 33 Abs. 3 lit. a bis </w:t>
            </w:r>
            <w:r w:rsidR="009B7509">
              <w:rPr>
                <w:rFonts w:cs="Arial"/>
              </w:rPr>
              <w:t>d beisammen sind.</w:t>
            </w:r>
          </w:p>
          <w:p w:rsidR="00265227" w:rsidRDefault="00265227" w:rsidP="00576B57">
            <w:pPr>
              <w:spacing w:after="0" w:line="240" w:lineRule="auto"/>
              <w:rPr>
                <w:rFonts w:cs="Arial"/>
              </w:rPr>
            </w:pPr>
          </w:p>
          <w:p w:rsidR="00603AA2" w:rsidRDefault="001A09E9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Die Meldung an die Aufsichtsbehörde hat „</w:t>
            </w:r>
            <w:r w:rsidRPr="00B41C85">
              <w:rPr>
                <w:rFonts w:cs="Arial"/>
                <w:b/>
              </w:rPr>
              <w:t>unverzüglich und möglichst binnen 72 Stunden“ nach bekannt werden der Schutzverletzung zu erfolgen</w:t>
            </w:r>
            <w:r>
              <w:rPr>
                <w:rFonts w:cs="Arial"/>
              </w:rPr>
              <w:t xml:space="preserve"> (Art. 33 Abs. 1 Satz</w:t>
            </w:r>
            <w:r w:rsidR="00B41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 und E</w:t>
            </w:r>
            <w:r w:rsidR="000F3C52">
              <w:rPr>
                <w:rFonts w:cs="Arial"/>
              </w:rPr>
              <w:t>rw</w:t>
            </w:r>
            <w:r>
              <w:rPr>
                <w:rFonts w:cs="Arial"/>
              </w:rPr>
              <w:t>G 85</w:t>
            </w:r>
            <w:r w:rsidR="00B02617">
              <w:rPr>
                <w:rFonts w:cs="Arial"/>
              </w:rPr>
              <w:t xml:space="preserve"> und 87</w:t>
            </w:r>
            <w:r>
              <w:rPr>
                <w:rFonts w:cs="Arial"/>
              </w:rPr>
              <w:t xml:space="preserve"> DS-GVO).</w:t>
            </w:r>
            <w:r w:rsidR="00603AA2">
              <w:rPr>
                <w:rFonts w:cs="Arial"/>
              </w:rPr>
              <w:t xml:space="preserve"> Dies gilt auch für etwaige Folgemeldungen.</w:t>
            </w:r>
            <w:r w:rsidR="003A71BC">
              <w:rPr>
                <w:rFonts w:cs="Arial"/>
              </w:rPr>
              <w:t xml:space="preserve"> </w:t>
            </w:r>
            <w:r w:rsidR="00603AA2">
              <w:rPr>
                <w:rFonts w:cs="Arial"/>
              </w:rPr>
              <w:t xml:space="preserve">Eine Überschreitung der Frist </w:t>
            </w:r>
            <w:r w:rsidR="003A71BC">
              <w:rPr>
                <w:rFonts w:cs="Arial"/>
              </w:rPr>
              <w:t>ist nur in begründeten Fällen möglich</w:t>
            </w:r>
            <w:r w:rsidR="00603AA2">
              <w:rPr>
                <w:rFonts w:cs="Arial"/>
              </w:rPr>
              <w:t>.</w:t>
            </w:r>
          </w:p>
          <w:p w:rsidR="00C03FF9" w:rsidRDefault="00C03FF9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„Unverzüglich“ bedeutet nach </w:t>
            </w:r>
            <w:r w:rsidR="00EE2866">
              <w:rPr>
                <w:rFonts w:cs="Arial"/>
              </w:rPr>
              <w:t xml:space="preserve">der Legaldefinition in § 121 Abs. 1 Satz 1 </w:t>
            </w:r>
            <w:r>
              <w:rPr>
                <w:rFonts w:cs="Arial"/>
              </w:rPr>
              <w:t>BGB</w:t>
            </w:r>
            <w:r w:rsidR="00EE2866">
              <w:rPr>
                <w:rFonts w:cs="Arial"/>
              </w:rPr>
              <w:t xml:space="preserve"> </w:t>
            </w:r>
            <w:r w:rsidR="00654DD6">
              <w:rPr>
                <w:rFonts w:cs="Arial"/>
              </w:rPr>
              <w:t>„</w:t>
            </w:r>
            <w:r w:rsidR="00EE2866">
              <w:rPr>
                <w:rFonts w:cs="Arial"/>
              </w:rPr>
              <w:t>ohne schuldhaftes Zögern</w:t>
            </w:r>
            <w:r w:rsidR="00654DD6">
              <w:rPr>
                <w:rFonts w:cs="Arial"/>
              </w:rPr>
              <w:t>“</w:t>
            </w:r>
            <w:r w:rsidR="00EE2866">
              <w:rPr>
                <w:rFonts w:cs="Arial"/>
              </w:rPr>
              <w:t xml:space="preserve">, also innerhalb einer </w:t>
            </w:r>
            <w:r w:rsidR="00D241EE">
              <w:rPr>
                <w:rFonts w:cs="Arial"/>
              </w:rPr>
              <w:t>angemessenen Prüfungs- und Überlegungszeit</w:t>
            </w:r>
            <w:r>
              <w:rPr>
                <w:rFonts w:cs="Arial"/>
              </w:rPr>
              <w:t>.</w:t>
            </w:r>
          </w:p>
          <w:p w:rsidR="00C03FF9" w:rsidRDefault="00C03FF9" w:rsidP="001B55CA">
            <w:pPr>
              <w:spacing w:after="0" w:line="240" w:lineRule="auto"/>
              <w:rPr>
                <w:rFonts w:cs="Arial"/>
              </w:rPr>
            </w:pPr>
          </w:p>
          <w:p w:rsidR="00C03FF9" w:rsidRPr="00654DD6" w:rsidRDefault="00654DD6" w:rsidP="001B55CA">
            <w:pPr>
              <w:spacing w:after="0" w:line="240" w:lineRule="auto"/>
              <w:rPr>
                <w:rFonts w:cs="Arial"/>
                <w:b/>
              </w:rPr>
            </w:pPr>
            <w:r w:rsidRPr="00654DD6">
              <w:rPr>
                <w:rFonts w:cs="Arial"/>
                <w:b/>
              </w:rPr>
              <w:t>Inhalt der Meldung an die Aufsichtsbehörde</w:t>
            </w:r>
          </w:p>
          <w:p w:rsidR="00654DD6" w:rsidRDefault="00654DD6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Hat die Risikobeurteilung ergeben, dass eine Meldung an die Aufsichtsbehörde erfolgt</w:t>
            </w:r>
            <w:r w:rsidR="005740FA">
              <w:rPr>
                <w:rFonts w:cs="Arial"/>
              </w:rPr>
              <w:t xml:space="preserve"> (es reicht ein „normales“ Risiko)</w:t>
            </w:r>
            <w:r>
              <w:rPr>
                <w:rFonts w:cs="Arial"/>
              </w:rPr>
              <w:t>, orientiert man sich an dem Kriterienkatalog (Minimalanforderung) aus Art. 33 Abs. 3 lit. a bis d DS-GVO:</w:t>
            </w:r>
          </w:p>
          <w:p w:rsidR="00654DD6" w:rsidRPr="00B02617" w:rsidRDefault="00654DD6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Beschreibung der Art der Schutzverletzung (z.B. Datenverlust)</w:t>
            </w:r>
          </w:p>
          <w:p w:rsidR="00654DD6" w:rsidRPr="00B02617" w:rsidRDefault="00654DD6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Angabe der Kategorien von betroffenen Personen (z.B. Mitarbeiter, Kunden)</w:t>
            </w:r>
          </w:p>
          <w:p w:rsidR="00654DD6" w:rsidRPr="00B02617" w:rsidRDefault="00654DD6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Angabe der ungefähren Zahl der betroffenen Personen, der betroffenen Datenkategorien und der ungefähren Zahl der betroffenen personenbezogenen Datensätze</w:t>
            </w:r>
          </w:p>
          <w:p w:rsidR="005819F3" w:rsidRPr="00B02617" w:rsidRDefault="005819F3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Name und Kontaktdaten des Datenschutzbeauftragten oder einer sonstigen Anlaufstelle</w:t>
            </w:r>
          </w:p>
          <w:p w:rsidR="005819F3" w:rsidRDefault="005819F3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Beschreibung der wahrscheinlichen Folgen der Schutzverletzung (z.B. finanzieller Schaden durch Offenlegung von Bank- und Kreditkartenkonten)</w:t>
            </w:r>
          </w:p>
          <w:p w:rsidR="00B02617" w:rsidRDefault="00B02617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B02617">
              <w:rPr>
                <w:rFonts w:cs="Arial"/>
              </w:rPr>
              <w:t xml:space="preserve">ine Beschreibung </w:t>
            </w:r>
            <w:r>
              <w:rPr>
                <w:rFonts w:cs="Arial"/>
              </w:rPr>
              <w:t>ergriffener oder vorgeschlagener</w:t>
            </w:r>
            <w:r w:rsidRPr="00B02617">
              <w:rPr>
                <w:rFonts w:cs="Arial"/>
              </w:rPr>
              <w:t xml:space="preserve"> Maßnahmen zur Behebung der Schutz</w:t>
            </w:r>
            <w:r>
              <w:rPr>
                <w:rFonts w:cs="Arial"/>
              </w:rPr>
              <w:t>verletzung</w:t>
            </w:r>
            <w:r w:rsidRPr="00B02617">
              <w:rPr>
                <w:rFonts w:cs="Arial"/>
              </w:rPr>
              <w:t xml:space="preserve"> und gegebenenfalls Maßnahmen zur Abmilderung </w:t>
            </w:r>
            <w:r>
              <w:rPr>
                <w:rFonts w:cs="Arial"/>
              </w:rPr>
              <w:t xml:space="preserve">der Folgen. </w:t>
            </w:r>
          </w:p>
          <w:p w:rsidR="00B02617" w:rsidRPr="00B02617" w:rsidRDefault="00B02617" w:rsidP="00B02617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Ebenfalls welche Maßnahmen aus welchen Gründen noch nicht erfolgt sind.</w:t>
            </w:r>
          </w:p>
          <w:p w:rsidR="00654DD6" w:rsidRDefault="005740FA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Eine besondere Form schreibt die DS-GVO nicht vor </w:t>
            </w:r>
            <w:r w:rsidR="00B02617">
              <w:rPr>
                <w:rFonts w:cs="Arial"/>
              </w:rPr>
              <w:t>(zu Format und Verfahren der Meldung siehe auch E</w:t>
            </w:r>
            <w:r w:rsidR="000F3C52">
              <w:rPr>
                <w:rFonts w:cs="Arial"/>
              </w:rPr>
              <w:t>rw</w:t>
            </w:r>
            <w:r w:rsidR="00B02617">
              <w:rPr>
                <w:rFonts w:cs="Arial"/>
              </w:rPr>
              <w:t>G 88 DS-GVO).</w:t>
            </w:r>
            <w:r>
              <w:rPr>
                <w:rFonts w:cs="Arial"/>
              </w:rPr>
              <w:t xml:space="preserve"> Liegt ein hohes Risiko für die Betroffenen vor oder andere Dringlichkeiten, empfiehlt sich vorab eine telefonische Kontaktaufnahme mit der Aufsichtsbehörde, der dann ein Brief</w:t>
            </w:r>
            <w:r w:rsidR="007D54B7">
              <w:rPr>
                <w:rFonts w:cs="Arial"/>
              </w:rPr>
              <w:t>, eine E-Mail</w:t>
            </w:r>
            <w:r>
              <w:rPr>
                <w:rFonts w:cs="Arial"/>
              </w:rPr>
              <w:t xml:space="preserve"> oder </w:t>
            </w:r>
            <w:r w:rsidR="007D54B7">
              <w:rPr>
                <w:rFonts w:cs="Arial"/>
              </w:rPr>
              <w:t xml:space="preserve">ein </w:t>
            </w:r>
            <w:r>
              <w:rPr>
                <w:rFonts w:cs="Arial"/>
              </w:rPr>
              <w:t>Fax folgt.</w:t>
            </w:r>
          </w:p>
          <w:p w:rsidR="00C03FF9" w:rsidRDefault="00C03FF9" w:rsidP="001B55CA">
            <w:pPr>
              <w:spacing w:after="0" w:line="240" w:lineRule="auto"/>
              <w:rPr>
                <w:rFonts w:cs="Arial"/>
              </w:rPr>
            </w:pPr>
          </w:p>
          <w:p w:rsidR="005740FA" w:rsidRPr="005740FA" w:rsidRDefault="005740FA" w:rsidP="001B55CA">
            <w:pPr>
              <w:spacing w:after="0" w:line="240" w:lineRule="auto"/>
              <w:rPr>
                <w:rFonts w:cs="Arial"/>
                <w:b/>
              </w:rPr>
            </w:pPr>
            <w:r w:rsidRPr="005740FA">
              <w:rPr>
                <w:rFonts w:cs="Arial"/>
                <w:b/>
              </w:rPr>
              <w:t>Information der betroffenen Personen</w:t>
            </w:r>
          </w:p>
          <w:p w:rsidR="005740FA" w:rsidRDefault="005740FA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Betroffene müssen - im Gegensatz zur Aufsichtsbehörde - erst dann benachrichtigt werden, wenn durch die Schutzverletzung ein hohes Risiko für ihre Rechte und Freiheiten besteht</w:t>
            </w:r>
            <w:r w:rsidR="0048126B">
              <w:rPr>
                <w:rFonts w:cs="Arial"/>
              </w:rPr>
              <w:t xml:space="preserve"> (Art. 34 Abs. 1 und E</w:t>
            </w:r>
            <w:r w:rsidR="000F3C52">
              <w:rPr>
                <w:rFonts w:cs="Arial"/>
              </w:rPr>
              <w:t>rw</w:t>
            </w:r>
            <w:r w:rsidR="0048126B">
              <w:rPr>
                <w:rFonts w:cs="Arial"/>
              </w:rPr>
              <w:t>G 86 DS-GVO)</w:t>
            </w:r>
            <w:r>
              <w:rPr>
                <w:rFonts w:cs="Arial"/>
              </w:rPr>
              <w:t>.</w:t>
            </w:r>
            <w:r w:rsidR="0048126B">
              <w:rPr>
                <w:rFonts w:cs="Arial"/>
              </w:rPr>
              <w:t xml:space="preserve"> In jedem Fall erfolgt die Benachrichtigung der Betroffenen separat und nicht mit der gleichen Information, wie die an die Aufsichtsbehörden.</w:t>
            </w:r>
            <w:r w:rsidR="00754128">
              <w:rPr>
                <w:rFonts w:cs="Arial"/>
              </w:rPr>
              <w:t xml:space="preserve"> Es empfiehlt sich, 2 </w:t>
            </w:r>
            <w:r w:rsidR="00754128">
              <w:rPr>
                <w:rFonts w:cs="Arial"/>
              </w:rPr>
              <w:lastRenderedPageBreak/>
              <w:t>unterschiedliche Vorlagen für die Benachrichtigung der Aufsichtsbehörde und der Betroffenen zu erstellen.</w:t>
            </w:r>
          </w:p>
          <w:p w:rsidR="005740FA" w:rsidRDefault="005740FA" w:rsidP="001B55CA">
            <w:pPr>
              <w:spacing w:after="0" w:line="240" w:lineRule="auto"/>
              <w:rPr>
                <w:rFonts w:cs="Arial"/>
              </w:rPr>
            </w:pPr>
          </w:p>
          <w:p w:rsidR="0048126B" w:rsidRPr="00754128" w:rsidRDefault="00754128" w:rsidP="001B55CA">
            <w:pPr>
              <w:spacing w:after="0" w:line="240" w:lineRule="auto"/>
              <w:rPr>
                <w:rFonts w:cs="Arial"/>
                <w:b/>
              </w:rPr>
            </w:pPr>
            <w:r w:rsidRPr="00754128">
              <w:rPr>
                <w:rFonts w:cs="Arial"/>
                <w:b/>
              </w:rPr>
              <w:t>Art und Weise</w:t>
            </w:r>
            <w:r>
              <w:rPr>
                <w:rFonts w:cs="Arial"/>
                <w:b/>
              </w:rPr>
              <w:t xml:space="preserve"> und Inhalt</w:t>
            </w:r>
            <w:r w:rsidRPr="00754128">
              <w:rPr>
                <w:rFonts w:cs="Arial"/>
                <w:b/>
              </w:rPr>
              <w:t xml:space="preserve"> der Information Betroffener</w:t>
            </w:r>
          </w:p>
          <w:p w:rsidR="00754128" w:rsidRDefault="00754128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Die Benachrichtigung betroffener Personen hat in klarer, verständlicher Sprache zu erfolgen. Sie beschreibt die Art der Schutzverletzung und enthält die Informationen aus Art. 33 Abs. 3 lit b bis d DS-GVO (Art. 34 Abs. 2 DS-GVO):</w:t>
            </w:r>
          </w:p>
          <w:p w:rsidR="00754128" w:rsidRPr="00B02617" w:rsidRDefault="00754128" w:rsidP="0075412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>Name und Kontaktdaten des Datenschutzbeauftragten oder einer sonstigen Anlaufstelle</w:t>
            </w:r>
          </w:p>
          <w:p w:rsidR="00754128" w:rsidRDefault="00754128" w:rsidP="0075412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B02617">
              <w:rPr>
                <w:rFonts w:cs="Arial"/>
              </w:rPr>
              <w:t xml:space="preserve">Beschreibung der wahrscheinlichen Folgen der </w:t>
            </w:r>
            <w:r>
              <w:rPr>
                <w:rFonts w:cs="Arial"/>
              </w:rPr>
              <w:t>Schutzverletzung</w:t>
            </w:r>
          </w:p>
          <w:p w:rsidR="00754128" w:rsidRDefault="00754128" w:rsidP="0075412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B02617">
              <w:rPr>
                <w:rFonts w:cs="Arial"/>
              </w:rPr>
              <w:t xml:space="preserve">ine Beschreibung </w:t>
            </w:r>
            <w:r>
              <w:rPr>
                <w:rFonts w:cs="Arial"/>
              </w:rPr>
              <w:t>ergriffener oder vorgeschlagener</w:t>
            </w:r>
            <w:r w:rsidRPr="00B02617">
              <w:rPr>
                <w:rFonts w:cs="Arial"/>
              </w:rPr>
              <w:t xml:space="preserve"> Maßnahmen zur Behebung der Schutz</w:t>
            </w:r>
            <w:r>
              <w:rPr>
                <w:rFonts w:cs="Arial"/>
              </w:rPr>
              <w:t>verletzung</w:t>
            </w:r>
            <w:r w:rsidRPr="00B02617">
              <w:rPr>
                <w:rFonts w:cs="Arial"/>
              </w:rPr>
              <w:t xml:space="preserve"> und gegebenenfalls Maßnahmen zur Abmilderung </w:t>
            </w:r>
            <w:r>
              <w:rPr>
                <w:rFonts w:cs="Arial"/>
              </w:rPr>
              <w:t xml:space="preserve">der Folgen. </w:t>
            </w:r>
          </w:p>
          <w:p w:rsidR="005740FA" w:rsidRDefault="005740FA" w:rsidP="001B55CA">
            <w:pPr>
              <w:spacing w:after="0" w:line="240" w:lineRule="auto"/>
              <w:rPr>
                <w:rFonts w:cs="Arial"/>
              </w:rPr>
            </w:pPr>
          </w:p>
          <w:p w:rsidR="00012373" w:rsidRPr="00DE1C3A" w:rsidRDefault="00012373" w:rsidP="001B55CA">
            <w:pPr>
              <w:spacing w:after="0" w:line="240" w:lineRule="auto"/>
              <w:rPr>
                <w:rFonts w:cs="Arial"/>
                <w:b/>
              </w:rPr>
            </w:pPr>
            <w:r w:rsidRPr="00DE1C3A">
              <w:rPr>
                <w:rFonts w:cs="Arial"/>
                <w:b/>
              </w:rPr>
              <w:t>Ausnahmen von der Benachrichtigungspflicht Betroffener</w:t>
            </w:r>
          </w:p>
          <w:p w:rsidR="00012373" w:rsidRDefault="00012373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 2 Fällen muss der Verantwortliche die Betroffenen nicht benachrichtigen (Art. 34 Abs. 3 DS-GVO):</w:t>
            </w:r>
          </w:p>
          <w:p w:rsidR="00012373" w:rsidRDefault="00012373" w:rsidP="0001237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cs="Arial"/>
              </w:rPr>
            </w:pPr>
            <w:r w:rsidRPr="00012373">
              <w:rPr>
                <w:rFonts w:cs="Arial"/>
              </w:rPr>
              <w:t>Im Vorfeld wurden technische und organisatorische Maßnahmen ergriffen, die unbefugten Zugang zu den Daten nunmehr verhindern und</w:t>
            </w:r>
          </w:p>
          <w:p w:rsidR="00012373" w:rsidRPr="00012373" w:rsidRDefault="00012373" w:rsidP="0001237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Maßnahmen</w:t>
            </w:r>
            <w:r w:rsidR="00DE1C3A">
              <w:rPr>
                <w:rFonts w:cs="Arial"/>
              </w:rPr>
              <w:t xml:space="preserve"> im Nachgang </w:t>
            </w:r>
            <w:r>
              <w:rPr>
                <w:rFonts w:cs="Arial"/>
              </w:rPr>
              <w:t>stellen sicher, dass ein hohes Risiko</w:t>
            </w:r>
            <w:r w:rsidR="00DE1C3A">
              <w:rPr>
                <w:rFonts w:cs="Arial"/>
              </w:rPr>
              <w:t xml:space="preserve"> für die Betroffenen nicht mehr besteht. Beispielsweise durch eine Risikominimierung für gelöschte Daten durch Wiederherstellung oder eine Fernlöschung verlorener Speichermedien.  </w:t>
            </w:r>
          </w:p>
          <w:p w:rsidR="00012373" w:rsidRDefault="00DE1C3A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Auf die Ausnahmen kann sich der Verantwortliche nur berufen, wenn eine neuerliche Bewertung des Restrisikos sicherstellt, dass es unter die Schwelle für Meldung oder Benachrichtigung fällt.</w:t>
            </w:r>
          </w:p>
          <w:p w:rsidR="005740FA" w:rsidRDefault="005740FA" w:rsidP="001B55CA">
            <w:pPr>
              <w:spacing w:after="0" w:line="240" w:lineRule="auto"/>
              <w:rPr>
                <w:rFonts w:cs="Arial"/>
              </w:rPr>
            </w:pPr>
          </w:p>
          <w:p w:rsidR="00DE1C3A" w:rsidRDefault="00C426D7" w:rsidP="001B55C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Ist die Benachrichtigung </w:t>
            </w:r>
            <w:r w:rsidR="00A77D82">
              <w:rPr>
                <w:rFonts w:cs="Arial"/>
              </w:rPr>
              <w:t>mit einem unverhältnismäßigen Aufwand</w:t>
            </w:r>
            <w:r w:rsidR="00DE1C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verbunden</w:t>
            </w:r>
            <w:r w:rsidR="00DE1C3A">
              <w:rPr>
                <w:rFonts w:cs="Arial"/>
              </w:rPr>
              <w:t xml:space="preserve">, kann </w:t>
            </w:r>
            <w:r>
              <w:rPr>
                <w:rFonts w:cs="Arial"/>
              </w:rPr>
              <w:t>an ihre Stelle eine öffentliche Benachrichtigung / Bekanntmachung treten (Art. 34 Abs. 3 lit c DS-GVO), beispielsweise, wenn veraltete Kontaktdaten von Kunden vorliegen und neue erst ermittelt werden müssen.</w:t>
            </w:r>
            <w:r w:rsidR="00400DC8">
              <w:rPr>
                <w:rFonts w:cs="Arial"/>
              </w:rPr>
              <w:t xml:space="preserve"> Die Maßnahme muss unbedingt „vergleichbar wirksam“ informieren.</w:t>
            </w:r>
          </w:p>
          <w:p w:rsidR="00400DC8" w:rsidRDefault="00400DC8" w:rsidP="001B55CA">
            <w:pPr>
              <w:spacing w:after="0" w:line="240" w:lineRule="auto"/>
              <w:rPr>
                <w:rFonts w:cs="Arial"/>
              </w:rPr>
            </w:pPr>
          </w:p>
          <w:p w:rsidR="00DE1C3A" w:rsidRDefault="00C426D7" w:rsidP="00DC53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§ 29 Abs. BDSG-neu beschreibt den Sonderfall in dem keine Pflicht zur Benachrichtigung Betroffener vorliegt, </w:t>
            </w:r>
            <w:r w:rsidR="0098640A">
              <w:rPr>
                <w:rFonts w:cs="Arial"/>
              </w:rPr>
              <w:t>„</w:t>
            </w:r>
            <w:r w:rsidR="0098640A" w:rsidRPr="0098640A">
              <w:rPr>
                <w:rFonts w:cs="Arial"/>
              </w:rPr>
              <w:t>soweit durch die Benachrichtigung Informationen offenbart würden, die nach einer Rechtsvorschrift oder ihrem Wesen nach, insbesondere wegen der überwiegenden berechtigten Interessen eines Dritten, geheim gehalten werden müssen“.</w:t>
            </w:r>
            <w:r>
              <w:rPr>
                <w:rFonts w:cs="Arial"/>
              </w:rPr>
              <w:t xml:space="preserve"> </w:t>
            </w:r>
          </w:p>
          <w:p w:rsidR="006465FF" w:rsidRDefault="006465FF" w:rsidP="00DC5366">
            <w:pPr>
              <w:spacing w:after="0" w:line="240" w:lineRule="auto"/>
              <w:rPr>
                <w:rFonts w:cs="Arial"/>
              </w:rPr>
            </w:pPr>
          </w:p>
          <w:p w:rsidR="006465FF" w:rsidRDefault="006465FF" w:rsidP="00DC53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Dies trifft dann zu, wenn beispielsweise personenbezogene Daten offenbart werden müssten, die der ärztlichen Schweigepflicht </w:t>
            </w:r>
            <w:r w:rsidR="00B83417">
              <w:rPr>
                <w:rFonts w:cs="Arial"/>
              </w:rPr>
              <w:t>nach § 203 StGB</w:t>
            </w:r>
            <w:r>
              <w:rPr>
                <w:rFonts w:cs="Arial"/>
              </w:rPr>
              <w:t xml:space="preserve"> unterliegen</w:t>
            </w:r>
            <w:r w:rsidR="00B83417">
              <w:rPr>
                <w:rFonts w:cs="Arial"/>
              </w:rPr>
              <w:t xml:space="preserve"> und wegen des überwiegenden berechtigten Interesses eines Dritten geheim gehalten werden müssen</w:t>
            </w:r>
            <w:r>
              <w:rPr>
                <w:rFonts w:cs="Arial"/>
              </w:rPr>
              <w:t>.</w:t>
            </w:r>
            <w:r w:rsidR="00B83417">
              <w:rPr>
                <w:rFonts w:cs="Arial"/>
              </w:rPr>
              <w:t xml:space="preserve"> </w:t>
            </w:r>
          </w:p>
          <w:p w:rsidR="00DE1C3A" w:rsidRDefault="00DE1C3A" w:rsidP="00DC5366">
            <w:pPr>
              <w:spacing w:after="0" w:line="240" w:lineRule="auto"/>
              <w:rPr>
                <w:rFonts w:cs="Arial"/>
              </w:rPr>
            </w:pPr>
          </w:p>
          <w:p w:rsidR="004613B7" w:rsidRPr="004613B7" w:rsidRDefault="004613B7" w:rsidP="00DC5366">
            <w:pPr>
              <w:spacing w:after="0" w:line="240" w:lineRule="auto"/>
              <w:rPr>
                <w:rFonts w:cs="Arial"/>
                <w:b/>
              </w:rPr>
            </w:pPr>
            <w:r w:rsidRPr="004613B7">
              <w:rPr>
                <w:rFonts w:cs="Arial"/>
                <w:b/>
              </w:rPr>
              <w:t>Dokumentationspflicht</w:t>
            </w:r>
          </w:p>
          <w:p w:rsidR="004613B7" w:rsidRDefault="00F60215" w:rsidP="00DC53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Die Dokumentation dient nicht nur der Aufsichtsbehörde zur Prüfung, sondern auch dem Verantwortlichen selbst.</w:t>
            </w:r>
          </w:p>
          <w:p w:rsidR="00F60215" w:rsidRDefault="00F60215" w:rsidP="00DC53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 Anlehnung an Art. 33 DS-GVO </w:t>
            </w:r>
            <w:r w:rsidR="00C558DD">
              <w:rPr>
                <w:rFonts w:cs="Arial"/>
              </w:rPr>
              <w:t>enthält die Dokumentation</w:t>
            </w:r>
            <w:r>
              <w:rPr>
                <w:rFonts w:cs="Arial"/>
              </w:rPr>
              <w:t xml:space="preserve"> alle Fakten, die in Zusammenhang mit der Schutzverletzung stehen, </w:t>
            </w:r>
            <w:r w:rsidR="00C558DD">
              <w:rPr>
                <w:rFonts w:cs="Arial"/>
              </w:rPr>
              <w:t>die</w:t>
            </w:r>
            <w:r>
              <w:rPr>
                <w:rFonts w:cs="Arial"/>
              </w:rPr>
              <w:t xml:space="preserve"> Auswirkungen und die Abhilfemaßnahmen.</w:t>
            </w:r>
            <w:r w:rsidR="00C558DD">
              <w:rPr>
                <w:rFonts w:cs="Arial"/>
              </w:rPr>
              <w:t xml:space="preserve"> Sie kann über die Mindestanforderung hinausgehen und alles enthalten, was bei einer Aufarbeitung der Vorfälle nützlich ist und hilft, das Risiko für Schutzverletzungen künftig zu minimieren.</w:t>
            </w:r>
          </w:p>
          <w:p w:rsidR="004613B7" w:rsidRDefault="004613B7" w:rsidP="00DC5366">
            <w:pPr>
              <w:spacing w:after="0" w:line="240" w:lineRule="auto"/>
              <w:rPr>
                <w:rFonts w:cs="Arial"/>
              </w:rPr>
            </w:pPr>
          </w:p>
          <w:p w:rsidR="00DE1C3A" w:rsidRPr="004613B7" w:rsidRDefault="004613B7" w:rsidP="00DC5366">
            <w:pPr>
              <w:spacing w:after="0" w:line="240" w:lineRule="auto"/>
              <w:rPr>
                <w:rFonts w:cs="Arial"/>
                <w:b/>
              </w:rPr>
            </w:pPr>
            <w:r w:rsidRPr="004613B7">
              <w:rPr>
                <w:rFonts w:cs="Arial"/>
                <w:b/>
              </w:rPr>
              <w:t>Bußgelder</w:t>
            </w:r>
          </w:p>
          <w:p w:rsidR="004613B7" w:rsidRDefault="007D63E3" w:rsidP="00DC53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Aufsichtsbehörden können bei Verstößen gegen Art. 33 und 34 DS-GVO Geldbußen bis zu 2 Mio € verhängen oder 2% des Jahresumsatzes (Art. 83 Abs. 4 lit a DS-GVO).</w:t>
            </w:r>
          </w:p>
          <w:p w:rsidR="009D5EC3" w:rsidRPr="004A0257" w:rsidRDefault="007D63E3" w:rsidP="005318E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Darüber hinaus können</w:t>
            </w:r>
            <w:r w:rsidR="003F0B28">
              <w:rPr>
                <w:rFonts w:cs="Arial"/>
              </w:rPr>
              <w:t xml:space="preserve"> betroffene Personen Schadensersatzansprüche geltend machen (§ 823 BGB)</w:t>
            </w:r>
            <w:r w:rsidR="00735990">
              <w:rPr>
                <w:rFonts w:cs="Arial"/>
              </w:rPr>
              <w:t>.</w:t>
            </w:r>
            <w:bookmarkStart w:id="0" w:name="_GoBack"/>
            <w:bookmarkEnd w:id="0"/>
          </w:p>
        </w:tc>
      </w:tr>
    </w:tbl>
    <w:p w:rsidR="00F520EB" w:rsidRDefault="00F520EB" w:rsidP="00635532">
      <w:pPr>
        <w:spacing w:after="0" w:line="240" w:lineRule="auto"/>
        <w:rPr>
          <w:rFonts w:cs="Arial"/>
        </w:rPr>
      </w:pPr>
    </w:p>
    <w:p w:rsidR="00A71798" w:rsidRDefault="00A71798" w:rsidP="003E4C71">
      <w:pPr>
        <w:pStyle w:val="Listenabsatz"/>
        <w:ind w:left="360"/>
        <w:rPr>
          <w:rFonts w:cs="Arial"/>
        </w:rPr>
      </w:pPr>
    </w:p>
    <w:sectPr w:rsidR="00A71798" w:rsidSect="00603FF5">
      <w:headerReference w:type="default" r:id="rId8"/>
      <w:footerReference w:type="default" r:id="rId9"/>
      <w:pgSz w:w="11906" w:h="16838"/>
      <w:pgMar w:top="1276" w:right="707" w:bottom="85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A3" w:rsidRDefault="00CC6AA3" w:rsidP="00145310">
      <w:pPr>
        <w:spacing w:after="0" w:line="240" w:lineRule="auto"/>
      </w:pPr>
      <w:r>
        <w:separator/>
      </w:r>
    </w:p>
  </w:endnote>
  <w:endnote w:type="continuationSeparator" w:id="0">
    <w:p w:rsidR="00CC6AA3" w:rsidRDefault="00CC6AA3" w:rsidP="0014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34" w:rsidRPr="001829DD" w:rsidRDefault="001829DD" w:rsidP="001829DD">
    <w:pPr>
      <w:pStyle w:val="Fuzeile"/>
      <w:tabs>
        <w:tab w:val="clear" w:pos="9072"/>
        <w:tab w:val="right" w:pos="9639"/>
      </w:tabs>
      <w:rPr>
        <w:sz w:val="16"/>
      </w:rPr>
    </w:pPr>
    <w:r>
      <w:rPr>
        <w:sz w:val="16"/>
      </w:rPr>
      <w:t>Revision 1.0</w:t>
    </w:r>
    <w:r>
      <w:rPr>
        <w:sz w:val="16"/>
      </w:rPr>
      <w:tab/>
    </w:r>
    <w:r>
      <w:rPr>
        <w:sz w:val="16"/>
      </w:rPr>
      <w:tab/>
    </w:r>
    <w:r w:rsidRPr="00F550D4">
      <w:rPr>
        <w:sz w:val="16"/>
      </w:rPr>
      <w:t xml:space="preserve">Seite </w:t>
    </w:r>
    <w:r w:rsidRPr="00F550D4">
      <w:rPr>
        <w:sz w:val="16"/>
      </w:rPr>
      <w:fldChar w:fldCharType="begin"/>
    </w:r>
    <w:r w:rsidRPr="00F550D4">
      <w:rPr>
        <w:sz w:val="16"/>
      </w:rPr>
      <w:instrText xml:space="preserve"> PAGE </w:instrText>
    </w:r>
    <w:r w:rsidRPr="00F550D4">
      <w:rPr>
        <w:sz w:val="16"/>
      </w:rPr>
      <w:fldChar w:fldCharType="separate"/>
    </w:r>
    <w:r>
      <w:rPr>
        <w:noProof/>
        <w:sz w:val="16"/>
      </w:rPr>
      <w:t>4</w:t>
    </w:r>
    <w:r w:rsidRPr="00F550D4">
      <w:rPr>
        <w:sz w:val="16"/>
      </w:rPr>
      <w:fldChar w:fldCharType="end"/>
    </w:r>
    <w:r w:rsidRPr="00F550D4">
      <w:rPr>
        <w:sz w:val="16"/>
      </w:rPr>
      <w:t xml:space="preserve"> von </w:t>
    </w:r>
    <w:r w:rsidRPr="00F550D4">
      <w:rPr>
        <w:sz w:val="16"/>
      </w:rPr>
      <w:fldChar w:fldCharType="begin"/>
    </w:r>
    <w:r w:rsidRPr="00F550D4">
      <w:rPr>
        <w:sz w:val="16"/>
      </w:rPr>
      <w:instrText xml:space="preserve"> NUMPAGES </w:instrText>
    </w:r>
    <w:r w:rsidRPr="00F550D4">
      <w:rPr>
        <w:sz w:val="16"/>
      </w:rPr>
      <w:fldChar w:fldCharType="separate"/>
    </w:r>
    <w:r>
      <w:rPr>
        <w:noProof/>
        <w:sz w:val="16"/>
      </w:rPr>
      <w:t>4</w:t>
    </w:r>
    <w:r w:rsidRPr="00F550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A3" w:rsidRDefault="00CC6AA3" w:rsidP="00145310">
      <w:pPr>
        <w:spacing w:after="0" w:line="240" w:lineRule="auto"/>
      </w:pPr>
      <w:r>
        <w:separator/>
      </w:r>
    </w:p>
  </w:footnote>
  <w:footnote w:type="continuationSeparator" w:id="0">
    <w:p w:rsidR="00CC6AA3" w:rsidRDefault="00CC6AA3" w:rsidP="0014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DD" w:rsidRPr="00355195" w:rsidRDefault="001829DD" w:rsidP="001829DD">
    <w:pPr>
      <w:pStyle w:val="Kopfzeile"/>
      <w:rPr>
        <w:sz w:val="18"/>
        <w:szCs w:val="18"/>
      </w:rPr>
    </w:pPr>
    <w:r w:rsidRPr="00355195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E3191C" wp14:editId="1A473252">
          <wp:simplePos x="0" y="0"/>
          <wp:positionH relativeFrom="margin">
            <wp:align>right</wp:align>
          </wp:positionH>
          <wp:positionV relativeFrom="paragraph">
            <wp:posOffset>11431</wp:posOffset>
          </wp:positionV>
          <wp:extent cx="1370594" cy="431880"/>
          <wp:effectExtent l="0" t="0" r="1270" b="635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94" cy="43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195">
      <w:rPr>
        <w:sz w:val="18"/>
        <w:szCs w:val="18"/>
      </w:rPr>
      <w:t>DRK-Landesverband</w:t>
    </w:r>
  </w:p>
  <w:p w:rsidR="001829DD" w:rsidRPr="00355195" w:rsidRDefault="001829DD" w:rsidP="001829DD">
    <w:pPr>
      <w:pStyle w:val="Kopfzeile"/>
      <w:rPr>
        <w:sz w:val="18"/>
        <w:szCs w:val="18"/>
      </w:rPr>
    </w:pPr>
    <w:r w:rsidRPr="00355195">
      <w:rPr>
        <w:sz w:val="18"/>
        <w:szCs w:val="18"/>
      </w:rPr>
      <w:t>Baden-Württemberg e. V.</w:t>
    </w:r>
    <w:r w:rsidRPr="00355195">
      <w:rPr>
        <w:noProof/>
        <w:sz w:val="18"/>
        <w:szCs w:val="18"/>
      </w:rPr>
      <w:t xml:space="preserve"> </w:t>
    </w:r>
  </w:p>
  <w:p w:rsidR="001829DD" w:rsidRPr="00355195" w:rsidRDefault="001829DD" w:rsidP="001829DD">
    <w:pPr>
      <w:pStyle w:val="Kopfzeile"/>
      <w:rPr>
        <w:sz w:val="18"/>
        <w:szCs w:val="18"/>
      </w:rPr>
    </w:pPr>
    <w:r w:rsidRPr="00355195">
      <w:rPr>
        <w:sz w:val="18"/>
        <w:szCs w:val="18"/>
      </w:rPr>
      <w:t>Datenschutz</w:t>
    </w:r>
  </w:p>
  <w:p w:rsidR="00112C34" w:rsidRDefault="00112C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641"/>
    <w:multiLevelType w:val="hybridMultilevel"/>
    <w:tmpl w:val="E68076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C4DAB"/>
    <w:multiLevelType w:val="hybridMultilevel"/>
    <w:tmpl w:val="B852C4A2"/>
    <w:lvl w:ilvl="0" w:tplc="2BDE34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CA280D"/>
    <w:multiLevelType w:val="hybridMultilevel"/>
    <w:tmpl w:val="6B96B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2F5"/>
    <w:multiLevelType w:val="hybridMultilevel"/>
    <w:tmpl w:val="4ED6B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6B4D"/>
    <w:multiLevelType w:val="hybridMultilevel"/>
    <w:tmpl w:val="838AC5A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44811"/>
    <w:multiLevelType w:val="hybridMultilevel"/>
    <w:tmpl w:val="DADA86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95"/>
    <w:multiLevelType w:val="hybridMultilevel"/>
    <w:tmpl w:val="2B46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6C52"/>
    <w:multiLevelType w:val="hybridMultilevel"/>
    <w:tmpl w:val="1CBA75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01BD7"/>
    <w:multiLevelType w:val="hybridMultilevel"/>
    <w:tmpl w:val="22962612"/>
    <w:lvl w:ilvl="0" w:tplc="0D36472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EF70C6"/>
    <w:multiLevelType w:val="hybridMultilevel"/>
    <w:tmpl w:val="3CAE3B6E"/>
    <w:lvl w:ilvl="0" w:tplc="2BDE34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576FF"/>
    <w:multiLevelType w:val="hybridMultilevel"/>
    <w:tmpl w:val="5A6662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16337"/>
    <w:multiLevelType w:val="hybridMultilevel"/>
    <w:tmpl w:val="EF5E90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5471E"/>
    <w:multiLevelType w:val="hybridMultilevel"/>
    <w:tmpl w:val="11FA2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6997"/>
    <w:multiLevelType w:val="hybridMultilevel"/>
    <w:tmpl w:val="172C4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2388A"/>
    <w:multiLevelType w:val="hybridMultilevel"/>
    <w:tmpl w:val="E6306C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4C65"/>
    <w:multiLevelType w:val="hybridMultilevel"/>
    <w:tmpl w:val="219E13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45195"/>
    <w:multiLevelType w:val="hybridMultilevel"/>
    <w:tmpl w:val="20861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7713"/>
    <w:multiLevelType w:val="hybridMultilevel"/>
    <w:tmpl w:val="B36E0EAE"/>
    <w:lvl w:ilvl="0" w:tplc="2BDE34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B337540"/>
    <w:multiLevelType w:val="hybridMultilevel"/>
    <w:tmpl w:val="616A810C"/>
    <w:lvl w:ilvl="0" w:tplc="E4C613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D558BF"/>
    <w:multiLevelType w:val="hybridMultilevel"/>
    <w:tmpl w:val="AB8EF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577A"/>
    <w:multiLevelType w:val="hybridMultilevel"/>
    <w:tmpl w:val="00924F8C"/>
    <w:lvl w:ilvl="0" w:tplc="00C60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E2DF8"/>
    <w:multiLevelType w:val="hybridMultilevel"/>
    <w:tmpl w:val="DEAAD30A"/>
    <w:lvl w:ilvl="0" w:tplc="62F26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A3961"/>
    <w:multiLevelType w:val="hybridMultilevel"/>
    <w:tmpl w:val="0E2A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F5752"/>
    <w:multiLevelType w:val="hybridMultilevel"/>
    <w:tmpl w:val="4CD4CA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A158EC"/>
    <w:multiLevelType w:val="hybridMultilevel"/>
    <w:tmpl w:val="4BBCD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4F17"/>
    <w:multiLevelType w:val="hybridMultilevel"/>
    <w:tmpl w:val="CC58EA7E"/>
    <w:lvl w:ilvl="0" w:tplc="2BDE34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E7357DE"/>
    <w:multiLevelType w:val="hybridMultilevel"/>
    <w:tmpl w:val="E382A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7"/>
  </w:num>
  <w:num w:numId="5">
    <w:abstractNumId w:val="18"/>
  </w:num>
  <w:num w:numId="6">
    <w:abstractNumId w:val="9"/>
  </w:num>
  <w:num w:numId="7">
    <w:abstractNumId w:val="25"/>
  </w:num>
  <w:num w:numId="8">
    <w:abstractNumId w:val="6"/>
  </w:num>
  <w:num w:numId="9">
    <w:abstractNumId w:val="23"/>
  </w:num>
  <w:num w:numId="10">
    <w:abstractNumId w:val="26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11"/>
  </w:num>
  <w:num w:numId="16">
    <w:abstractNumId w:val="22"/>
  </w:num>
  <w:num w:numId="17">
    <w:abstractNumId w:val="16"/>
  </w:num>
  <w:num w:numId="18">
    <w:abstractNumId w:val="21"/>
  </w:num>
  <w:num w:numId="19">
    <w:abstractNumId w:val="20"/>
  </w:num>
  <w:num w:numId="20">
    <w:abstractNumId w:val="14"/>
  </w:num>
  <w:num w:numId="21">
    <w:abstractNumId w:val="13"/>
  </w:num>
  <w:num w:numId="22">
    <w:abstractNumId w:val="15"/>
  </w:num>
  <w:num w:numId="23">
    <w:abstractNumId w:val="19"/>
  </w:num>
  <w:num w:numId="24">
    <w:abstractNumId w:val="12"/>
  </w:num>
  <w:num w:numId="25">
    <w:abstractNumId w:val="3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10"/>
    <w:rsid w:val="00012373"/>
    <w:rsid w:val="00023499"/>
    <w:rsid w:val="000251AF"/>
    <w:rsid w:val="00032B61"/>
    <w:rsid w:val="0003640E"/>
    <w:rsid w:val="00081DEF"/>
    <w:rsid w:val="000B3E3D"/>
    <w:rsid w:val="000C37CD"/>
    <w:rsid w:val="000C3C55"/>
    <w:rsid w:val="000D0584"/>
    <w:rsid w:val="000D3DBF"/>
    <w:rsid w:val="000D59A5"/>
    <w:rsid w:val="000F3C52"/>
    <w:rsid w:val="00105680"/>
    <w:rsid w:val="00110CF6"/>
    <w:rsid w:val="00112C34"/>
    <w:rsid w:val="00125694"/>
    <w:rsid w:val="00130543"/>
    <w:rsid w:val="001418B1"/>
    <w:rsid w:val="001422B8"/>
    <w:rsid w:val="00145310"/>
    <w:rsid w:val="001647EF"/>
    <w:rsid w:val="00166BC1"/>
    <w:rsid w:val="001679F3"/>
    <w:rsid w:val="00174211"/>
    <w:rsid w:val="001829DD"/>
    <w:rsid w:val="001A09E9"/>
    <w:rsid w:val="001A574D"/>
    <w:rsid w:val="001B55CA"/>
    <w:rsid w:val="001D3E64"/>
    <w:rsid w:val="001D5620"/>
    <w:rsid w:val="001E1FB9"/>
    <w:rsid w:val="00216E5F"/>
    <w:rsid w:val="00243274"/>
    <w:rsid w:val="0025419B"/>
    <w:rsid w:val="00263F67"/>
    <w:rsid w:val="00265227"/>
    <w:rsid w:val="002866ED"/>
    <w:rsid w:val="002E77BB"/>
    <w:rsid w:val="002F742B"/>
    <w:rsid w:val="003041EC"/>
    <w:rsid w:val="00311719"/>
    <w:rsid w:val="00330A7D"/>
    <w:rsid w:val="00393348"/>
    <w:rsid w:val="003A71BC"/>
    <w:rsid w:val="003C3F5B"/>
    <w:rsid w:val="003E189E"/>
    <w:rsid w:val="003E41E5"/>
    <w:rsid w:val="003E4C71"/>
    <w:rsid w:val="003F0B28"/>
    <w:rsid w:val="003F7336"/>
    <w:rsid w:val="00400DC8"/>
    <w:rsid w:val="00424883"/>
    <w:rsid w:val="004503F6"/>
    <w:rsid w:val="0045593B"/>
    <w:rsid w:val="004613B7"/>
    <w:rsid w:val="0048126B"/>
    <w:rsid w:val="004A0257"/>
    <w:rsid w:val="004A42F3"/>
    <w:rsid w:val="004D61A3"/>
    <w:rsid w:val="004F31CF"/>
    <w:rsid w:val="005119D8"/>
    <w:rsid w:val="00522403"/>
    <w:rsid w:val="00527411"/>
    <w:rsid w:val="005318E6"/>
    <w:rsid w:val="00544ED6"/>
    <w:rsid w:val="00552D0C"/>
    <w:rsid w:val="005740FA"/>
    <w:rsid w:val="00576B57"/>
    <w:rsid w:val="005819F3"/>
    <w:rsid w:val="005B5726"/>
    <w:rsid w:val="005D4BFE"/>
    <w:rsid w:val="005E301E"/>
    <w:rsid w:val="005E4892"/>
    <w:rsid w:val="005F6434"/>
    <w:rsid w:val="00603AA2"/>
    <w:rsid w:val="00603FF5"/>
    <w:rsid w:val="0062372B"/>
    <w:rsid w:val="0062579B"/>
    <w:rsid w:val="00625EBD"/>
    <w:rsid w:val="00635532"/>
    <w:rsid w:val="006465FF"/>
    <w:rsid w:val="00654DD6"/>
    <w:rsid w:val="0066082C"/>
    <w:rsid w:val="006C4297"/>
    <w:rsid w:val="006F2717"/>
    <w:rsid w:val="0070060E"/>
    <w:rsid w:val="00707BEC"/>
    <w:rsid w:val="0071210C"/>
    <w:rsid w:val="00726AA4"/>
    <w:rsid w:val="0073535A"/>
    <w:rsid w:val="00735990"/>
    <w:rsid w:val="0074313D"/>
    <w:rsid w:val="00754128"/>
    <w:rsid w:val="00791250"/>
    <w:rsid w:val="007C0069"/>
    <w:rsid w:val="007D3111"/>
    <w:rsid w:val="007D54B7"/>
    <w:rsid w:val="007D63E3"/>
    <w:rsid w:val="007D683B"/>
    <w:rsid w:val="007E1311"/>
    <w:rsid w:val="007F6C27"/>
    <w:rsid w:val="00813B19"/>
    <w:rsid w:val="0081479F"/>
    <w:rsid w:val="00816FC7"/>
    <w:rsid w:val="008218DB"/>
    <w:rsid w:val="0083327C"/>
    <w:rsid w:val="00847422"/>
    <w:rsid w:val="00856BFF"/>
    <w:rsid w:val="00870F28"/>
    <w:rsid w:val="00876C0B"/>
    <w:rsid w:val="008D13BD"/>
    <w:rsid w:val="008E2A15"/>
    <w:rsid w:val="008E691F"/>
    <w:rsid w:val="008F4A8D"/>
    <w:rsid w:val="009078DA"/>
    <w:rsid w:val="00957F8A"/>
    <w:rsid w:val="009631C0"/>
    <w:rsid w:val="00965EF8"/>
    <w:rsid w:val="00967F61"/>
    <w:rsid w:val="00984FFD"/>
    <w:rsid w:val="0098640A"/>
    <w:rsid w:val="00993937"/>
    <w:rsid w:val="009A414C"/>
    <w:rsid w:val="009B7509"/>
    <w:rsid w:val="009D5EC3"/>
    <w:rsid w:val="009F28F7"/>
    <w:rsid w:val="009F7350"/>
    <w:rsid w:val="009F7EED"/>
    <w:rsid w:val="00A159E6"/>
    <w:rsid w:val="00A216E0"/>
    <w:rsid w:val="00A34388"/>
    <w:rsid w:val="00A71798"/>
    <w:rsid w:val="00A77D82"/>
    <w:rsid w:val="00AE15CD"/>
    <w:rsid w:val="00AF24D9"/>
    <w:rsid w:val="00AF3B09"/>
    <w:rsid w:val="00B02617"/>
    <w:rsid w:val="00B41C85"/>
    <w:rsid w:val="00B62901"/>
    <w:rsid w:val="00B83417"/>
    <w:rsid w:val="00BA51F4"/>
    <w:rsid w:val="00BB342D"/>
    <w:rsid w:val="00BB37FD"/>
    <w:rsid w:val="00BF4B1B"/>
    <w:rsid w:val="00C016F9"/>
    <w:rsid w:val="00C03FF9"/>
    <w:rsid w:val="00C07D56"/>
    <w:rsid w:val="00C426D7"/>
    <w:rsid w:val="00C53805"/>
    <w:rsid w:val="00C558DD"/>
    <w:rsid w:val="00C60886"/>
    <w:rsid w:val="00C94701"/>
    <w:rsid w:val="00CA2EF9"/>
    <w:rsid w:val="00CC6AA3"/>
    <w:rsid w:val="00CC7F33"/>
    <w:rsid w:val="00CE3CC6"/>
    <w:rsid w:val="00CF7AB9"/>
    <w:rsid w:val="00D0764D"/>
    <w:rsid w:val="00D12718"/>
    <w:rsid w:val="00D241EE"/>
    <w:rsid w:val="00D42F21"/>
    <w:rsid w:val="00D66659"/>
    <w:rsid w:val="00D82631"/>
    <w:rsid w:val="00DC5366"/>
    <w:rsid w:val="00DD10CF"/>
    <w:rsid w:val="00DD5184"/>
    <w:rsid w:val="00DE18FB"/>
    <w:rsid w:val="00DE1C3A"/>
    <w:rsid w:val="00DE6949"/>
    <w:rsid w:val="00DF15C0"/>
    <w:rsid w:val="00E03CF9"/>
    <w:rsid w:val="00E27211"/>
    <w:rsid w:val="00E30920"/>
    <w:rsid w:val="00E517B4"/>
    <w:rsid w:val="00E7089C"/>
    <w:rsid w:val="00E805ED"/>
    <w:rsid w:val="00E97477"/>
    <w:rsid w:val="00EB2789"/>
    <w:rsid w:val="00EE134C"/>
    <w:rsid w:val="00EE2866"/>
    <w:rsid w:val="00EE4CA5"/>
    <w:rsid w:val="00EF0DD8"/>
    <w:rsid w:val="00F00DFC"/>
    <w:rsid w:val="00F10CF1"/>
    <w:rsid w:val="00F449A6"/>
    <w:rsid w:val="00F520EB"/>
    <w:rsid w:val="00F60215"/>
    <w:rsid w:val="00F709F9"/>
    <w:rsid w:val="00F86414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DE14964"/>
  <w15:docId w15:val="{E6BB1334-3C93-4B62-9412-8202380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F4B1B"/>
    <w:pPr>
      <w:spacing w:after="200" w:line="276" w:lineRule="auto"/>
    </w:pPr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4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4531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4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4531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4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53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453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7F6C27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8218D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96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6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37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108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60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2845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8697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CEF6-0703-4EAF-8FCB-1285FAE3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BRK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Armin Petermann</dc:creator>
  <cp:lastModifiedBy>Schaeufele, Stefanie</cp:lastModifiedBy>
  <cp:revision>46</cp:revision>
  <cp:lastPrinted>2009-10-14T07:47:00Z</cp:lastPrinted>
  <dcterms:created xsi:type="dcterms:W3CDTF">2015-06-26T11:28:00Z</dcterms:created>
  <dcterms:modified xsi:type="dcterms:W3CDTF">2020-03-02T07:51:00Z</dcterms:modified>
</cp:coreProperties>
</file>