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56" w:rsidRPr="00F67EBD" w:rsidRDefault="00F67EBD" w:rsidP="00F67EBD">
      <w:pPr>
        <w:pStyle w:val="Listenabsatz"/>
      </w:pPr>
      <w:r w:rsidRPr="00F67EBD">
        <w:t>Verfahrensbeschreibung Auskunftsersuchen</w:t>
      </w:r>
    </w:p>
    <w:p w:rsidR="00F67EBD" w:rsidRDefault="00F67EBD" w:rsidP="00F67EBD">
      <w:pPr>
        <w:pStyle w:val="Listenabsatz"/>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697156" w:rsidRPr="00CA2EF9" w:rsidTr="00AC6C28">
        <w:trPr>
          <w:trHeight w:val="282"/>
        </w:trPr>
        <w:tc>
          <w:tcPr>
            <w:tcW w:w="9781" w:type="dxa"/>
            <w:shd w:val="clear" w:color="auto" w:fill="BFBFBF"/>
          </w:tcPr>
          <w:p w:rsidR="00697156" w:rsidRPr="00CA2EF9" w:rsidRDefault="00697156" w:rsidP="00F67EBD">
            <w:pPr>
              <w:pStyle w:val="Listenabsatz"/>
              <w:numPr>
                <w:ilvl w:val="0"/>
                <w:numId w:val="48"/>
              </w:numPr>
            </w:pPr>
            <w:r>
              <w:t>Ziel und Zweck des Verfahrens</w:t>
            </w:r>
          </w:p>
        </w:tc>
      </w:tr>
      <w:tr w:rsidR="00697156" w:rsidRPr="00BF4B1B" w:rsidTr="00AC6C28">
        <w:trPr>
          <w:trHeight w:val="716"/>
        </w:trPr>
        <w:tc>
          <w:tcPr>
            <w:tcW w:w="9781" w:type="dxa"/>
          </w:tcPr>
          <w:p w:rsidR="00697156" w:rsidRDefault="00697156" w:rsidP="00AC6C28">
            <w:pPr>
              <w:spacing w:after="0" w:line="240" w:lineRule="auto"/>
              <w:rPr>
                <w:rFonts w:cs="Arial"/>
              </w:rPr>
            </w:pPr>
            <w:r>
              <w:rPr>
                <w:rFonts w:cs="Arial"/>
              </w:rPr>
              <w:t>Das Ziel ist es, den Beschäftigten eine datenschutzkonforme Vorgehensweise an die Hand zu geben, ob Auskünfte gegeben oder verweigert werden können.</w:t>
            </w:r>
          </w:p>
          <w:p w:rsidR="00697156" w:rsidRPr="00BF4B1B" w:rsidRDefault="00697156" w:rsidP="00AC6C28">
            <w:pPr>
              <w:spacing w:after="0" w:line="240" w:lineRule="auto"/>
              <w:rPr>
                <w:rFonts w:cs="Arial"/>
                <w:b/>
              </w:rPr>
            </w:pPr>
            <w:r>
              <w:rPr>
                <w:rFonts w:cs="Arial"/>
              </w:rPr>
              <w:t xml:space="preserve">Der Zweck ist, das Risiko einer unzulässigen Datenübermittlung – dies stellt eine Schutzverletzung nach Art. 33 DS-GVO dar – zu vermieden. </w:t>
            </w:r>
          </w:p>
        </w:tc>
      </w:tr>
    </w:tbl>
    <w:p w:rsidR="00697156" w:rsidRDefault="00697156" w:rsidP="00F67EBD">
      <w:pPr>
        <w:pStyle w:val="Listenabsatz"/>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804"/>
      </w:tblGrid>
      <w:tr w:rsidR="00697156" w:rsidRPr="00CA2EF9" w:rsidTr="00AC6C28">
        <w:tc>
          <w:tcPr>
            <w:tcW w:w="9781" w:type="dxa"/>
            <w:gridSpan w:val="2"/>
            <w:shd w:val="clear" w:color="auto" w:fill="BFBFBF"/>
            <w:vAlign w:val="center"/>
          </w:tcPr>
          <w:p w:rsidR="00697156" w:rsidRPr="00CA2EF9" w:rsidRDefault="00697156" w:rsidP="00F67EBD">
            <w:pPr>
              <w:pStyle w:val="Listenabsatz"/>
              <w:numPr>
                <w:ilvl w:val="0"/>
                <w:numId w:val="48"/>
              </w:numPr>
            </w:pPr>
            <w:r>
              <w:t>Geltungsbereich und Befugnisse</w:t>
            </w:r>
            <w:r w:rsidRPr="00CA2EF9">
              <w:t>:</w:t>
            </w:r>
          </w:p>
        </w:tc>
      </w:tr>
      <w:tr w:rsidR="00697156" w:rsidRPr="004A0257" w:rsidTr="00EA01FB">
        <w:tc>
          <w:tcPr>
            <w:tcW w:w="2977" w:type="dxa"/>
            <w:shd w:val="clear" w:color="auto" w:fill="BFBFBF"/>
          </w:tcPr>
          <w:p w:rsidR="00697156" w:rsidRPr="00CA2EF9" w:rsidRDefault="00697156" w:rsidP="00AC6C28">
            <w:pPr>
              <w:spacing w:after="0" w:line="240" w:lineRule="auto"/>
              <w:rPr>
                <w:rFonts w:cs="Arial"/>
                <w:b/>
              </w:rPr>
            </w:pPr>
            <w:r>
              <w:rPr>
                <w:rFonts w:cs="Arial"/>
                <w:b/>
              </w:rPr>
              <w:t>Geltungsbereich</w:t>
            </w:r>
          </w:p>
        </w:tc>
        <w:tc>
          <w:tcPr>
            <w:tcW w:w="6804" w:type="dxa"/>
          </w:tcPr>
          <w:p w:rsidR="00697156" w:rsidRPr="004A0257" w:rsidRDefault="00697156" w:rsidP="00AC6C28">
            <w:pPr>
              <w:spacing w:after="0" w:line="240" w:lineRule="auto"/>
              <w:rPr>
                <w:rFonts w:cs="Arial"/>
              </w:rPr>
            </w:pPr>
            <w:r>
              <w:rPr>
                <w:rFonts w:cs="Arial"/>
              </w:rPr>
              <w:t>Alle Dienststellen des DRK LV BW</w:t>
            </w:r>
          </w:p>
        </w:tc>
      </w:tr>
      <w:tr w:rsidR="00697156" w:rsidRPr="004A0257" w:rsidTr="00EA01FB">
        <w:tc>
          <w:tcPr>
            <w:tcW w:w="2977" w:type="dxa"/>
            <w:shd w:val="clear" w:color="auto" w:fill="BFBFBF"/>
          </w:tcPr>
          <w:p w:rsidR="00697156" w:rsidRPr="00CA2EF9" w:rsidRDefault="00697156" w:rsidP="00AC6C28">
            <w:pPr>
              <w:spacing w:after="0" w:line="240" w:lineRule="auto"/>
              <w:rPr>
                <w:rFonts w:cs="Arial"/>
                <w:b/>
              </w:rPr>
            </w:pPr>
            <w:r>
              <w:rPr>
                <w:rFonts w:cs="Arial"/>
                <w:b/>
              </w:rPr>
              <w:t>Mitarbeit und Befugnisse</w:t>
            </w:r>
          </w:p>
        </w:tc>
        <w:tc>
          <w:tcPr>
            <w:tcW w:w="6804" w:type="dxa"/>
          </w:tcPr>
          <w:p w:rsidR="00697156" w:rsidRPr="004A0257" w:rsidRDefault="00697156" w:rsidP="00AC6C28">
            <w:pPr>
              <w:spacing w:after="0" w:line="240" w:lineRule="auto"/>
              <w:rPr>
                <w:rFonts w:cs="Arial"/>
              </w:rPr>
            </w:pPr>
            <w:r>
              <w:rPr>
                <w:rFonts w:cs="Arial"/>
              </w:rPr>
              <w:t>Sachbearbeitung der Stelle, bei der Auskünfte verlangt werden. Unter den Voraussetzungen, die in diesem Verfahren beschrieben werden, können Auskünfte erteilt oder verweigert werden.</w:t>
            </w:r>
          </w:p>
        </w:tc>
      </w:tr>
    </w:tbl>
    <w:p w:rsidR="00697156" w:rsidRDefault="00697156" w:rsidP="00F67EBD">
      <w:pPr>
        <w:pStyle w:val="Listenabsatz"/>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804"/>
      </w:tblGrid>
      <w:tr w:rsidR="00697156" w:rsidRPr="00CA2EF9" w:rsidTr="00AC6C28">
        <w:tc>
          <w:tcPr>
            <w:tcW w:w="9781" w:type="dxa"/>
            <w:gridSpan w:val="2"/>
            <w:shd w:val="clear" w:color="auto" w:fill="BFBFBF"/>
            <w:vAlign w:val="center"/>
          </w:tcPr>
          <w:p w:rsidR="00697156" w:rsidRPr="00CA2EF9" w:rsidRDefault="00697156" w:rsidP="00F67EBD">
            <w:pPr>
              <w:pStyle w:val="Listenabsatz"/>
              <w:numPr>
                <w:ilvl w:val="0"/>
                <w:numId w:val="48"/>
              </w:numPr>
            </w:pPr>
            <w:r>
              <w:t>Eingaben und strukturelle Voraussetzungen</w:t>
            </w:r>
            <w:r w:rsidRPr="00CA2EF9">
              <w:t>:</w:t>
            </w:r>
          </w:p>
        </w:tc>
      </w:tr>
      <w:tr w:rsidR="00697156" w:rsidTr="00EA01FB">
        <w:tc>
          <w:tcPr>
            <w:tcW w:w="2977" w:type="dxa"/>
            <w:shd w:val="clear" w:color="auto" w:fill="BFBFBF"/>
          </w:tcPr>
          <w:p w:rsidR="00697156" w:rsidRDefault="00697156" w:rsidP="00AC6C28">
            <w:pPr>
              <w:spacing w:after="0" w:line="240" w:lineRule="auto"/>
              <w:rPr>
                <w:rFonts w:cs="Arial"/>
                <w:b/>
              </w:rPr>
            </w:pPr>
            <w:r>
              <w:rPr>
                <w:rFonts w:cs="Arial"/>
                <w:b/>
              </w:rPr>
              <w:t>Eingaben</w:t>
            </w:r>
          </w:p>
        </w:tc>
        <w:tc>
          <w:tcPr>
            <w:tcW w:w="6804" w:type="dxa"/>
          </w:tcPr>
          <w:p w:rsidR="00697156" w:rsidRDefault="00F24450" w:rsidP="00AC6C28">
            <w:pPr>
              <w:spacing w:after="0" w:line="240" w:lineRule="auto"/>
              <w:rPr>
                <w:rFonts w:cs="Arial"/>
              </w:rPr>
            </w:pPr>
            <w:r>
              <w:rPr>
                <w:rFonts w:cs="Arial"/>
              </w:rPr>
              <w:t>Auskunftsverlangen per</w:t>
            </w:r>
            <w:r w:rsidR="00697156">
              <w:rPr>
                <w:rFonts w:cs="Arial"/>
              </w:rPr>
              <w:t xml:space="preserve"> Telefon, E-Mail, postalisch, per Fax oder persönlich zu einer bestimmten Person oder mehreren Personen</w:t>
            </w:r>
          </w:p>
        </w:tc>
      </w:tr>
      <w:tr w:rsidR="00697156" w:rsidRPr="004A0257" w:rsidTr="00EA01FB">
        <w:tc>
          <w:tcPr>
            <w:tcW w:w="2977" w:type="dxa"/>
            <w:shd w:val="clear" w:color="auto" w:fill="BFBFBF"/>
          </w:tcPr>
          <w:p w:rsidR="00697156" w:rsidRPr="00CA2EF9" w:rsidRDefault="00697156" w:rsidP="00AC6C28">
            <w:pPr>
              <w:spacing w:after="0" w:line="240" w:lineRule="auto"/>
              <w:rPr>
                <w:rFonts w:cs="Arial"/>
                <w:b/>
              </w:rPr>
            </w:pPr>
            <w:r>
              <w:rPr>
                <w:rFonts w:cs="Arial"/>
                <w:b/>
              </w:rPr>
              <w:t>Strukturelle Voraussetzungen</w:t>
            </w:r>
          </w:p>
        </w:tc>
        <w:tc>
          <w:tcPr>
            <w:tcW w:w="6804" w:type="dxa"/>
          </w:tcPr>
          <w:p w:rsidR="00697156" w:rsidRPr="004A0257" w:rsidRDefault="00697156" w:rsidP="00AC6C28">
            <w:pPr>
              <w:spacing w:after="0" w:line="240" w:lineRule="auto"/>
              <w:rPr>
                <w:rFonts w:cs="Arial"/>
              </w:rPr>
            </w:pPr>
            <w:r>
              <w:rPr>
                <w:rFonts w:cs="Arial"/>
              </w:rPr>
              <w:t>Das Auskunftsverlangen betrifft die richtige Organisation / Dienststelle</w:t>
            </w:r>
          </w:p>
        </w:tc>
      </w:tr>
    </w:tbl>
    <w:p w:rsidR="00697156" w:rsidRDefault="00697156" w:rsidP="00F67EBD">
      <w:pPr>
        <w:pStyle w:val="Listenabsatz"/>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1"/>
        <w:gridCol w:w="5840"/>
      </w:tblGrid>
      <w:tr w:rsidR="00697156" w:rsidRPr="00CA2EF9" w:rsidTr="00AC6C28">
        <w:tc>
          <w:tcPr>
            <w:tcW w:w="9781" w:type="dxa"/>
            <w:gridSpan w:val="2"/>
            <w:shd w:val="clear" w:color="auto" w:fill="BFBFBF"/>
            <w:vAlign w:val="center"/>
          </w:tcPr>
          <w:p w:rsidR="00697156" w:rsidRPr="00CA2EF9" w:rsidRDefault="00697156" w:rsidP="00F67EBD">
            <w:pPr>
              <w:pStyle w:val="Listenabsatz"/>
              <w:numPr>
                <w:ilvl w:val="0"/>
                <w:numId w:val="48"/>
              </w:numPr>
            </w:pPr>
            <w:r>
              <w:br w:type="page"/>
              <w:t>Beschreibung</w:t>
            </w:r>
            <w:r w:rsidRPr="00CA2EF9">
              <w:t>:</w:t>
            </w:r>
          </w:p>
        </w:tc>
      </w:tr>
      <w:tr w:rsidR="00697156" w:rsidRPr="00CA2EF9" w:rsidTr="00AC6C28">
        <w:tc>
          <w:tcPr>
            <w:tcW w:w="9781" w:type="dxa"/>
            <w:gridSpan w:val="2"/>
            <w:shd w:val="clear" w:color="auto" w:fill="auto"/>
          </w:tcPr>
          <w:p w:rsidR="00697156" w:rsidRDefault="00697156" w:rsidP="00AC6C28">
            <w:pPr>
              <w:spacing w:after="0" w:line="240" w:lineRule="auto"/>
              <w:rPr>
                <w:rFonts w:cs="Arial"/>
              </w:rPr>
            </w:pPr>
            <w:r>
              <w:rPr>
                <w:rFonts w:cs="Arial"/>
              </w:rPr>
              <w:t>Im Rahmen eines eingeleiteten Ermittlungsverfahrens soll z.B. ein Diebstahl, ein Betrug, eine Sachbeschädigung oder ein Straßenverkehrsdelikt aufgeklärt werden. Dazu holt eine Behörde notwendige Informationen über den Sachverhalt oder beteiligte Personen mit dem Ziel der Beweissicherung ein.</w:t>
            </w:r>
          </w:p>
          <w:p w:rsidR="00697156" w:rsidRDefault="00697156" w:rsidP="00AC6C28">
            <w:pPr>
              <w:spacing w:after="0" w:line="240" w:lineRule="auto"/>
              <w:rPr>
                <w:rFonts w:cs="Arial"/>
              </w:rPr>
            </w:pPr>
            <w:r>
              <w:rPr>
                <w:rFonts w:cs="Arial"/>
              </w:rPr>
              <w:t>Üblicherweise handelt es sich um personenbezogene Daten, wie Namen, Adressen, IP-Adressen, Video-, Bild- und Audiodateien (Tonaufnahmen) oder Standortdaten. Gemäß Art. 4 Nr. 14 DS-GVO zählen Video-, Bild- und Tonaufnahmen zu biometrischen Daten und gelten daher als personenbezogene Daten der besonderen Kategorie gemäß Art. 9 DS-GVO.</w:t>
            </w:r>
          </w:p>
          <w:p w:rsidR="00697156" w:rsidRPr="00C45174" w:rsidRDefault="00697156" w:rsidP="00AC6C28">
            <w:pPr>
              <w:pStyle w:val="berschrift2"/>
            </w:pPr>
            <w:r w:rsidRPr="00C45174">
              <w:t>1.</w:t>
            </w:r>
            <w:r>
              <w:t xml:space="preserve"> Identifizierung des </w:t>
            </w:r>
            <w:r w:rsidRPr="00C45174">
              <w:t>Anfragenden</w:t>
            </w:r>
          </w:p>
          <w:p w:rsidR="00697156" w:rsidRDefault="00697156" w:rsidP="00AC6C28">
            <w:pPr>
              <w:spacing w:after="0" w:line="240" w:lineRule="auto"/>
              <w:rPr>
                <w:rFonts w:cs="Arial"/>
              </w:rPr>
            </w:pPr>
            <w:r>
              <w:rPr>
                <w:rFonts w:cs="Arial"/>
              </w:rPr>
              <w:t>Nachdem eine unzulässige Übermittlung von personenbezogenen Daten (</w:t>
            </w:r>
            <w:proofErr w:type="spellStart"/>
            <w:r>
              <w:rPr>
                <w:rFonts w:cs="Arial"/>
              </w:rPr>
              <w:t>pbD</w:t>
            </w:r>
            <w:proofErr w:type="spellEnd"/>
            <w:r>
              <w:rPr>
                <w:rFonts w:cs="Arial"/>
              </w:rPr>
              <w:t>) eine Schutzverletzung darstellt, muss die anfragende Person/Stelle zweifelsfrei identifiziert werden.</w:t>
            </w:r>
          </w:p>
          <w:p w:rsidR="00697156" w:rsidRDefault="00697156" w:rsidP="00AC6C28">
            <w:pPr>
              <w:spacing w:after="0" w:line="240" w:lineRule="auto"/>
              <w:rPr>
                <w:rFonts w:cs="Arial"/>
              </w:rPr>
            </w:pPr>
          </w:p>
          <w:p w:rsidR="00697156" w:rsidRDefault="00697156" w:rsidP="00AC6C28">
            <w:pPr>
              <w:spacing w:after="0" w:line="240" w:lineRule="auto"/>
              <w:rPr>
                <w:rFonts w:cs="Arial"/>
              </w:rPr>
            </w:pPr>
            <w:r>
              <w:rPr>
                <w:rFonts w:cs="Arial"/>
              </w:rPr>
              <w:t xml:space="preserve">Bei telefonischen Anfragen fordern Sie immer eine schriftliche Anfrage (Brief oder Fax) an, aus der eindeutig die verantwortliche Behörde und die Namens- und Kommunikationsdaten der anfragenden Person hervorgehen. </w:t>
            </w:r>
          </w:p>
          <w:p w:rsidR="00697156" w:rsidRDefault="00697156" w:rsidP="00AC6C28">
            <w:pPr>
              <w:spacing w:after="0" w:line="240" w:lineRule="auto"/>
              <w:rPr>
                <w:rFonts w:cs="Arial"/>
              </w:rPr>
            </w:pPr>
            <w:r>
              <w:rPr>
                <w:rFonts w:cs="Arial"/>
              </w:rPr>
              <w:t>Kommt die Anfrage per E-Mail, dann muss geprüft werden, ob die Absenderadresse korrekt ist. Die Auskunft sollte schriftlich an die Postadresse erfolgen. Wird die Person oder z. B. die Polizei persönlich vorstellig, dann können die Ausweise der Person/Beamten geprüft werden – ggf. Rückruf bei der Dienststelle/betroffenen Person.</w:t>
            </w:r>
          </w:p>
          <w:p w:rsidR="00697156" w:rsidRDefault="00697156" w:rsidP="00AC6C28">
            <w:pPr>
              <w:spacing w:after="0" w:line="240" w:lineRule="auto"/>
              <w:rPr>
                <w:rFonts w:cs="Arial"/>
              </w:rPr>
            </w:pPr>
          </w:p>
          <w:p w:rsidR="00697156" w:rsidRDefault="00697156" w:rsidP="00AC6C28">
            <w:pPr>
              <w:spacing w:after="0" w:line="240" w:lineRule="auto"/>
              <w:rPr>
                <w:rFonts w:cs="Arial"/>
              </w:rPr>
            </w:pPr>
            <w:r>
              <w:rPr>
                <w:rFonts w:cs="Arial"/>
              </w:rPr>
              <w:t>Jegliche Kommunikation ist für den Zweck des Nachweises zu dokumentieren (am besten im Datenschutzmanagement-System).</w:t>
            </w:r>
          </w:p>
          <w:p w:rsidR="00697156" w:rsidRPr="00FE25A5" w:rsidRDefault="00697156" w:rsidP="00AC6C28">
            <w:pPr>
              <w:pStyle w:val="berschrift2"/>
            </w:pPr>
            <w:r>
              <w:lastRenderedPageBreak/>
              <w:t xml:space="preserve">2. </w:t>
            </w:r>
            <w:r w:rsidRPr="00FE25A5">
              <w:t>Prüfung des Auskunft</w:t>
            </w:r>
            <w:r>
              <w:t>s</w:t>
            </w:r>
            <w:r w:rsidRPr="00FE25A5">
              <w:t>verlangens</w:t>
            </w:r>
          </w:p>
          <w:p w:rsidR="00697156" w:rsidRDefault="00697156" w:rsidP="00AC6C28">
            <w:pPr>
              <w:spacing w:after="0" w:line="240" w:lineRule="auto"/>
              <w:rPr>
                <w:rFonts w:cs="Arial"/>
              </w:rPr>
            </w:pPr>
            <w:r>
              <w:rPr>
                <w:rFonts w:cs="Arial"/>
              </w:rPr>
              <w:t xml:space="preserve">Der Verantwortliche muss prüfen, ob die Person/Behörde überhaupt die Herausgabe der </w:t>
            </w:r>
            <w:proofErr w:type="spellStart"/>
            <w:r>
              <w:rPr>
                <w:rFonts w:cs="Arial"/>
              </w:rPr>
              <w:t>pbD</w:t>
            </w:r>
            <w:proofErr w:type="spellEnd"/>
            <w:r>
              <w:rPr>
                <w:rFonts w:cs="Arial"/>
              </w:rPr>
              <w:t xml:space="preserve"> verlangen darf. Grundlagen des Herausgabeverlangens kann z.B. ein richterlicher Beschluss oder ein unterzeichnetes Auskunftsersuchen der Staatsanwaltschaft</w:t>
            </w:r>
            <w:r w:rsidR="006F25CC">
              <w:rPr>
                <w:rFonts w:cs="Arial"/>
              </w:rPr>
              <w:t xml:space="preserve"> sein (der Polizei darf ohne staatsanwaltlichen oder richterlichen Auftrag keine personenbezogene Daten herausgegeben werden</w:t>
            </w:r>
            <w:proofErr w:type="gramStart"/>
            <w:r w:rsidR="006F25CC">
              <w:rPr>
                <w:rFonts w:cs="Arial"/>
              </w:rPr>
              <w:t xml:space="preserve">) </w:t>
            </w:r>
            <w:r>
              <w:rPr>
                <w:rFonts w:cs="Arial"/>
              </w:rPr>
              <w:t>.</w:t>
            </w:r>
            <w:proofErr w:type="gramEnd"/>
            <w:r>
              <w:rPr>
                <w:rFonts w:cs="Arial"/>
              </w:rPr>
              <w:t xml:space="preserve"> Ein Aktenzeichen, die Rechtsgrundlage des Auskunftsverlangens (z.B. §§ 160 ff Strafprozessordnung (StPO)) und eine kurze Darstellung des Sachverhalts als Begründung sind mindestens enthalten. Im Zweifel konsultieren Sie bereits hier die Rechtsabteilung oder den Datenschutzbeauftragten</w:t>
            </w:r>
            <w:r w:rsidR="00F24450">
              <w:rPr>
                <w:rFonts w:cs="Arial"/>
              </w:rPr>
              <w:t xml:space="preserve">/Datenschutzkoordinatoren. – Gibt es eine (schriftliche) Einwilligung der betroffenen Person? - </w:t>
            </w:r>
          </w:p>
          <w:p w:rsidR="00697156" w:rsidRPr="003550B0" w:rsidRDefault="00697156" w:rsidP="00AC6C28">
            <w:pPr>
              <w:pStyle w:val="berschrift2"/>
            </w:pPr>
            <w:r w:rsidRPr="003550B0">
              <w:t>3. Die Rechtsgrundlage für die Herausgabe prüfen</w:t>
            </w:r>
          </w:p>
          <w:p w:rsidR="00697156" w:rsidRDefault="00697156" w:rsidP="00AC6C28">
            <w:pPr>
              <w:spacing w:after="0" w:line="240" w:lineRule="auto"/>
              <w:rPr>
                <w:rFonts w:cs="Arial"/>
              </w:rPr>
            </w:pPr>
            <w:r>
              <w:rPr>
                <w:rFonts w:cs="Arial"/>
              </w:rPr>
              <w:t xml:space="preserve">Die DS-GVO enthält keine eigenständige Rechtsgrundlage für die Herausgabe von Daten zu Zwecken der Strafverfolgung. </w:t>
            </w:r>
          </w:p>
          <w:p w:rsidR="00697156" w:rsidRDefault="00697156" w:rsidP="00AC6C28">
            <w:pPr>
              <w:spacing w:after="0" w:line="240" w:lineRule="auto"/>
              <w:rPr>
                <w:rFonts w:cs="Arial"/>
              </w:rPr>
            </w:pPr>
            <w:r>
              <w:rPr>
                <w:rFonts w:cs="Arial"/>
              </w:rPr>
              <w:t xml:space="preserve">Ein Erlaubnistatbestand für die Datenübermittlung von </w:t>
            </w:r>
            <w:proofErr w:type="spellStart"/>
            <w:r>
              <w:rPr>
                <w:rFonts w:cs="Arial"/>
              </w:rPr>
              <w:t>pbD</w:t>
            </w:r>
            <w:proofErr w:type="spellEnd"/>
            <w:r>
              <w:rPr>
                <w:rFonts w:cs="Arial"/>
              </w:rPr>
              <w:t xml:space="preserve"> aufgrund einer rechtlichen Verpflichtung (richterlicher Beschluss oder staatsanwaltlicher Ermittlung) ist Art. 6 Abs. 1 </w:t>
            </w:r>
            <w:proofErr w:type="spellStart"/>
            <w:r>
              <w:rPr>
                <w:rFonts w:cs="Arial"/>
              </w:rPr>
              <w:t>lit</w:t>
            </w:r>
            <w:proofErr w:type="spellEnd"/>
            <w:r>
              <w:rPr>
                <w:rFonts w:cs="Arial"/>
              </w:rPr>
              <w:t xml:space="preserve">. c DS-GVO </w:t>
            </w:r>
            <w:proofErr w:type="spellStart"/>
            <w:r>
              <w:rPr>
                <w:rFonts w:cs="Arial"/>
              </w:rPr>
              <w:t>i.V.m</w:t>
            </w:r>
            <w:proofErr w:type="spellEnd"/>
            <w:r>
              <w:rPr>
                <w:rFonts w:cs="Arial"/>
              </w:rPr>
              <w:t xml:space="preserve">. </w:t>
            </w:r>
            <w:proofErr w:type="spellStart"/>
            <w:r>
              <w:rPr>
                <w:rFonts w:cs="Arial"/>
              </w:rPr>
              <w:t>ErwG</w:t>
            </w:r>
            <w:proofErr w:type="spellEnd"/>
            <w:r>
              <w:rPr>
                <w:rFonts w:cs="Arial"/>
              </w:rPr>
              <w:t xml:space="preserve"> 45 DS-GVO </w:t>
            </w:r>
            <w:proofErr w:type="spellStart"/>
            <w:r>
              <w:rPr>
                <w:rFonts w:cs="Arial"/>
              </w:rPr>
              <w:t>i.V.m</w:t>
            </w:r>
            <w:proofErr w:type="spellEnd"/>
            <w:r w:rsidR="006F25CC">
              <w:rPr>
                <w:rFonts w:cs="Arial"/>
              </w:rPr>
              <w:t>. § 24 BDSG)</w:t>
            </w:r>
          </w:p>
          <w:p w:rsidR="00697156" w:rsidRDefault="00697156" w:rsidP="00AC6C28">
            <w:pPr>
              <w:spacing w:after="0" w:line="240" w:lineRule="auto"/>
              <w:rPr>
                <w:rFonts w:cs="Arial"/>
              </w:rPr>
            </w:pPr>
          </w:p>
          <w:p w:rsidR="00697156" w:rsidRDefault="00697156" w:rsidP="00AC6C28">
            <w:pPr>
              <w:spacing w:after="0" w:line="240" w:lineRule="auto"/>
              <w:rPr>
                <w:rFonts w:cs="Arial"/>
              </w:rPr>
            </w:pPr>
            <w:r>
              <w:rPr>
                <w:rFonts w:cs="Arial"/>
              </w:rPr>
              <w:t>Sofern die Polizei auf der Grundlage der StPO (§§ 160, 161, 161a oder 163) als Ermittlungsperson der Staatsanwaltschaft oder in eigener Sache bei Gefahr im Verzug vorstellig wird, ist der Verantwortliche verpflichtet in den Grenzen der StPO Auskünfte zu erteilen. Beachten Sie, dass auch für das Unternehmen, wenn es als Zeuge herangezogen wird, gemäß §§ 48 StPO das Zeugnisverweigerungsrecht in Anspruch nehmen kann und die Zeugenaussagen ggf. freiwillig erfolgen.</w:t>
            </w:r>
          </w:p>
          <w:p w:rsidR="00697156" w:rsidRDefault="00697156" w:rsidP="00AC6C28">
            <w:pPr>
              <w:spacing w:after="0" w:line="240" w:lineRule="auto"/>
              <w:rPr>
                <w:rFonts w:cs="Arial"/>
              </w:rPr>
            </w:pPr>
          </w:p>
          <w:p w:rsidR="00697156" w:rsidRDefault="00697156" w:rsidP="00AC6C28">
            <w:pPr>
              <w:spacing w:after="0" w:line="240" w:lineRule="auto"/>
              <w:rPr>
                <w:rFonts w:cs="Arial"/>
              </w:rPr>
            </w:pPr>
            <w:r>
              <w:rPr>
                <w:rFonts w:cs="Arial"/>
              </w:rPr>
              <w:t xml:space="preserve">Das überwiegend berechtigte Interesse des Verantwortlichen gemäß Art. 6 Abs. 1 </w:t>
            </w:r>
            <w:proofErr w:type="spellStart"/>
            <w:r>
              <w:rPr>
                <w:rFonts w:cs="Arial"/>
              </w:rPr>
              <w:t>lit</w:t>
            </w:r>
            <w:proofErr w:type="spellEnd"/>
            <w:r>
              <w:rPr>
                <w:rFonts w:cs="Arial"/>
              </w:rPr>
              <w:t xml:space="preserve">. f DS-GVO für die Übermittlung wird gleichfalls anerkannt. Im </w:t>
            </w:r>
            <w:proofErr w:type="spellStart"/>
            <w:r>
              <w:rPr>
                <w:rFonts w:cs="Arial"/>
              </w:rPr>
              <w:t>ErwG</w:t>
            </w:r>
            <w:proofErr w:type="spellEnd"/>
            <w:r>
              <w:rPr>
                <w:rFonts w:cs="Arial"/>
              </w:rPr>
              <w:t xml:space="preserve"> 50 Satz 9 DS-GVO erkennt der Gesetzgeber eine Übermittlung von </w:t>
            </w:r>
            <w:proofErr w:type="spellStart"/>
            <w:r>
              <w:rPr>
                <w:rFonts w:cs="Arial"/>
              </w:rPr>
              <w:t>pbD</w:t>
            </w:r>
            <w:proofErr w:type="spellEnd"/>
            <w:r>
              <w:rPr>
                <w:rFonts w:cs="Arial"/>
              </w:rPr>
              <w:t xml:space="preserve"> zur Strafverfolgung als berechtigtes Interesse des Verantwortlichen an. Die schutzwürdigen Interessen des Betroffenen treten in diesem Fall hinter die berechtigten Interessen des Verantwortlichen zurück.</w:t>
            </w:r>
          </w:p>
          <w:p w:rsidR="00B70470" w:rsidRDefault="00B70470" w:rsidP="00AC6C28">
            <w:pPr>
              <w:spacing w:after="0" w:line="240" w:lineRule="auto"/>
              <w:rPr>
                <w:rFonts w:cs="Arial"/>
              </w:rPr>
            </w:pPr>
          </w:p>
          <w:p w:rsidR="00B70470" w:rsidRDefault="00B70470" w:rsidP="00AC6C28">
            <w:pPr>
              <w:spacing w:after="0" w:line="240" w:lineRule="auto"/>
              <w:rPr>
                <w:rFonts w:cs="Arial"/>
              </w:rPr>
            </w:pPr>
            <w:r>
              <w:rPr>
                <w:rFonts w:cs="Arial"/>
              </w:rPr>
              <w:t xml:space="preserve">Eine weitere Rechtsgrundlage ergibt sich aus Art. 6 Abs. 1 </w:t>
            </w:r>
            <w:proofErr w:type="spellStart"/>
            <w:r>
              <w:rPr>
                <w:rFonts w:cs="Arial"/>
              </w:rPr>
              <w:t>lit</w:t>
            </w:r>
            <w:proofErr w:type="spellEnd"/>
            <w:r>
              <w:rPr>
                <w:rFonts w:cs="Arial"/>
              </w:rPr>
              <w:t xml:space="preserve">. a DS-GVO, d. h. liegt eine Einwilligung der betroffenen Person vor. </w:t>
            </w:r>
          </w:p>
          <w:p w:rsidR="00697156" w:rsidRPr="004E1332" w:rsidRDefault="00697156" w:rsidP="00AC6C28">
            <w:pPr>
              <w:pStyle w:val="berschrift2"/>
            </w:pPr>
            <w:r>
              <w:t xml:space="preserve">4. </w:t>
            </w:r>
            <w:r w:rsidRPr="004E1332">
              <w:t xml:space="preserve">Besondere Kategorie von </w:t>
            </w:r>
            <w:proofErr w:type="spellStart"/>
            <w:r w:rsidRPr="004E1332">
              <w:t>pbD</w:t>
            </w:r>
            <w:proofErr w:type="spellEnd"/>
          </w:p>
          <w:p w:rsidR="00697156" w:rsidRDefault="00697156" w:rsidP="00AC6C28">
            <w:pPr>
              <w:spacing w:after="0" w:line="240" w:lineRule="auto"/>
              <w:rPr>
                <w:rFonts w:cs="Arial"/>
              </w:rPr>
            </w:pPr>
            <w:r>
              <w:rPr>
                <w:rFonts w:cs="Arial"/>
              </w:rPr>
              <w:t xml:space="preserve">Art. 9 DS-GVO ist für die besondere </w:t>
            </w:r>
            <w:r w:rsidR="00F24450">
              <w:rPr>
                <w:rFonts w:cs="Arial"/>
              </w:rPr>
              <w:t>Kategorie</w:t>
            </w:r>
            <w:r>
              <w:rPr>
                <w:rFonts w:cs="Arial"/>
              </w:rPr>
              <w:t xml:space="preserve"> von </w:t>
            </w:r>
            <w:proofErr w:type="spellStart"/>
            <w:r>
              <w:rPr>
                <w:rFonts w:cs="Arial"/>
              </w:rPr>
              <w:t>pbD</w:t>
            </w:r>
            <w:proofErr w:type="spellEnd"/>
            <w:r w:rsidR="00F67EBD">
              <w:rPr>
                <w:rFonts w:cs="Arial"/>
              </w:rPr>
              <w:t xml:space="preserve"> (z. B. Gesundheitsdaten)</w:t>
            </w:r>
            <w:r>
              <w:rPr>
                <w:rFonts w:cs="Arial"/>
              </w:rPr>
              <w:t xml:space="preserve"> maßgebend. Di</w:t>
            </w:r>
            <w:r w:rsidR="00F67EBD">
              <w:rPr>
                <w:rFonts w:cs="Arial"/>
              </w:rPr>
              <w:t>e Verpflichtung des Unternehmens</w:t>
            </w:r>
            <w:r>
              <w:rPr>
                <w:rFonts w:cs="Arial"/>
              </w:rPr>
              <w:t xml:space="preserve"> zur Zusammenarbeit mit den Behörden nach der St</w:t>
            </w:r>
            <w:r w:rsidR="006F25CC">
              <w:rPr>
                <w:rFonts w:cs="Arial"/>
              </w:rPr>
              <w:t>PO</w:t>
            </w:r>
            <w:r>
              <w:rPr>
                <w:rFonts w:cs="Arial"/>
              </w:rPr>
              <w:t xml:space="preserve"> lässt sich aus Art. 9 Abs. 2 </w:t>
            </w:r>
            <w:proofErr w:type="spellStart"/>
            <w:r>
              <w:rPr>
                <w:rFonts w:cs="Arial"/>
              </w:rPr>
              <w:t>lit</w:t>
            </w:r>
            <w:proofErr w:type="spellEnd"/>
            <w:r>
              <w:rPr>
                <w:rFonts w:cs="Arial"/>
              </w:rPr>
              <w:t>. g DS-GVO ableiten.</w:t>
            </w:r>
          </w:p>
          <w:p w:rsidR="00697156" w:rsidRDefault="00697156" w:rsidP="00AC6C28">
            <w:pPr>
              <w:spacing w:after="0" w:line="240" w:lineRule="auto"/>
              <w:rPr>
                <w:rFonts w:cs="Arial"/>
              </w:rPr>
            </w:pPr>
          </w:p>
          <w:p w:rsidR="00697156" w:rsidRPr="002E3EF8" w:rsidRDefault="00697156" w:rsidP="00AC6C28">
            <w:pPr>
              <w:pStyle w:val="berschrift2"/>
            </w:pPr>
            <w:r w:rsidRPr="002E3EF8">
              <w:t>5. Heraus</w:t>
            </w:r>
            <w:bookmarkStart w:id="0" w:name="_GoBack"/>
            <w:bookmarkEnd w:id="0"/>
            <w:r w:rsidRPr="002E3EF8">
              <w:t>gabe der Daten und Dokumentation</w:t>
            </w:r>
          </w:p>
          <w:p w:rsidR="00697156" w:rsidRDefault="00697156" w:rsidP="00AC6C28">
            <w:pPr>
              <w:spacing w:after="0" w:line="240" w:lineRule="auto"/>
              <w:rPr>
                <w:rFonts w:cs="Arial"/>
              </w:rPr>
            </w:pPr>
            <w:r>
              <w:rPr>
                <w:rFonts w:cs="Arial"/>
              </w:rPr>
              <w:t>Daten müssen nach dem Grundsatz der Datenminimierung übermittelt werden. Es sind nur die Daten herauszugeben, die für den Zweck erforderlich sind. Dabei sind bei einer elektronischen Übermittlung die technischen- und organisatorischen Maßnahmen zu beachten – die Schriftform ist vorzuziehen.</w:t>
            </w:r>
          </w:p>
          <w:p w:rsidR="00697156" w:rsidRDefault="00697156" w:rsidP="00AC6C28">
            <w:pPr>
              <w:spacing w:after="0" w:line="240" w:lineRule="auto"/>
              <w:rPr>
                <w:rFonts w:cs="Arial"/>
              </w:rPr>
            </w:pPr>
          </w:p>
          <w:p w:rsidR="00697156" w:rsidRPr="004A0257" w:rsidRDefault="00697156" w:rsidP="00AC6C28">
            <w:pPr>
              <w:spacing w:after="0" w:line="240" w:lineRule="auto"/>
              <w:rPr>
                <w:rFonts w:cs="Arial"/>
              </w:rPr>
            </w:pPr>
            <w:r>
              <w:rPr>
                <w:rFonts w:cs="Arial"/>
              </w:rPr>
              <w:t>Der komplette Vorgang ist in allen seinen Schritten gemäß Art. 5 Abs. 2 DS-GVO zum Nachweis der Rechtmäßigkeit zu dokumentieren, insbesondere die Prüfung der Rechtsgrundlage, die ggf. eine Interessensabwägung beinhaltet.</w:t>
            </w:r>
          </w:p>
        </w:tc>
      </w:tr>
      <w:tr w:rsidR="00F67EBD" w:rsidRPr="00CA2EF9" w:rsidTr="00AC6C28">
        <w:tc>
          <w:tcPr>
            <w:tcW w:w="9781" w:type="dxa"/>
            <w:gridSpan w:val="2"/>
            <w:shd w:val="clear" w:color="auto" w:fill="BFBFBF"/>
            <w:vAlign w:val="center"/>
          </w:tcPr>
          <w:p w:rsidR="00F67EBD" w:rsidRPr="00CA2EF9" w:rsidRDefault="00F67EBD" w:rsidP="00F67EBD">
            <w:pPr>
              <w:pStyle w:val="Listenabsatz"/>
              <w:numPr>
                <w:ilvl w:val="0"/>
                <w:numId w:val="48"/>
              </w:numPr>
            </w:pPr>
            <w:r>
              <w:lastRenderedPageBreak/>
              <w:t>Ergebnisse</w:t>
            </w:r>
          </w:p>
        </w:tc>
      </w:tr>
      <w:tr w:rsidR="00F67EBD" w:rsidTr="00AC6C28">
        <w:tc>
          <w:tcPr>
            <w:tcW w:w="3941" w:type="dxa"/>
            <w:shd w:val="clear" w:color="auto" w:fill="BFBFBF"/>
          </w:tcPr>
          <w:p w:rsidR="00F67EBD" w:rsidRDefault="00F67EBD" w:rsidP="00AC6C28">
            <w:pPr>
              <w:spacing w:after="0" w:line="240" w:lineRule="auto"/>
              <w:rPr>
                <w:rFonts w:cs="Arial"/>
                <w:b/>
              </w:rPr>
            </w:pPr>
            <w:r>
              <w:rPr>
                <w:rFonts w:cs="Arial"/>
                <w:b/>
              </w:rPr>
              <w:t>Erwartete Ergebnisse</w:t>
            </w:r>
          </w:p>
        </w:tc>
        <w:tc>
          <w:tcPr>
            <w:tcW w:w="5840" w:type="dxa"/>
          </w:tcPr>
          <w:p w:rsidR="00F67EBD" w:rsidRDefault="00F67EBD" w:rsidP="00AC6C28">
            <w:pPr>
              <w:spacing w:after="0" w:line="240" w:lineRule="auto"/>
              <w:rPr>
                <w:rFonts w:cs="Arial"/>
              </w:rPr>
            </w:pPr>
            <w:r>
              <w:rPr>
                <w:rFonts w:cs="Arial"/>
              </w:rPr>
              <w:t xml:space="preserve">Herausgabe oder Verweigerung der Herausgabe der </w:t>
            </w:r>
            <w:proofErr w:type="spellStart"/>
            <w:r>
              <w:rPr>
                <w:rFonts w:cs="Arial"/>
              </w:rPr>
              <w:t>pbD</w:t>
            </w:r>
            <w:proofErr w:type="spellEnd"/>
          </w:p>
          <w:p w:rsidR="00F67EBD" w:rsidRDefault="00F67EBD" w:rsidP="00AC6C28">
            <w:pPr>
              <w:spacing w:after="0" w:line="240" w:lineRule="auto"/>
              <w:rPr>
                <w:rFonts w:cs="Arial"/>
              </w:rPr>
            </w:pPr>
          </w:p>
        </w:tc>
      </w:tr>
      <w:tr w:rsidR="00F67EBD" w:rsidRPr="004A0257" w:rsidTr="00AC6C28">
        <w:tc>
          <w:tcPr>
            <w:tcW w:w="3941" w:type="dxa"/>
            <w:shd w:val="clear" w:color="auto" w:fill="BFBFBF"/>
          </w:tcPr>
          <w:p w:rsidR="00F67EBD" w:rsidRPr="00CA2EF9" w:rsidRDefault="00F67EBD" w:rsidP="00AC6C28">
            <w:pPr>
              <w:spacing w:after="0" w:line="240" w:lineRule="auto"/>
              <w:rPr>
                <w:rFonts w:cs="Arial"/>
                <w:b/>
              </w:rPr>
            </w:pPr>
            <w:r>
              <w:rPr>
                <w:rFonts w:cs="Arial"/>
                <w:b/>
              </w:rPr>
              <w:t>Qualitätsaufzeichnungen</w:t>
            </w:r>
          </w:p>
        </w:tc>
        <w:tc>
          <w:tcPr>
            <w:tcW w:w="5840" w:type="dxa"/>
          </w:tcPr>
          <w:p w:rsidR="00F67EBD" w:rsidRDefault="00F67EBD" w:rsidP="00AC6C28">
            <w:pPr>
              <w:spacing w:after="0" w:line="240" w:lineRule="auto"/>
              <w:rPr>
                <w:rFonts w:cs="Arial"/>
              </w:rPr>
            </w:pPr>
            <w:r>
              <w:rPr>
                <w:rFonts w:cs="Arial"/>
              </w:rPr>
              <w:t>Kopie des behördlichen Schreibens/Einwilligung durch den Betroffenen</w:t>
            </w:r>
          </w:p>
          <w:p w:rsidR="00F67EBD" w:rsidRDefault="00F67EBD" w:rsidP="00AC6C28">
            <w:pPr>
              <w:spacing w:after="0" w:line="240" w:lineRule="auto"/>
              <w:rPr>
                <w:rFonts w:cs="Arial"/>
              </w:rPr>
            </w:pPr>
            <w:r>
              <w:rPr>
                <w:rFonts w:cs="Arial"/>
              </w:rPr>
              <w:t>Dokumentation der Herausgabe oder Ablehnung im Datenschutzmanagement-System</w:t>
            </w:r>
          </w:p>
          <w:p w:rsidR="00F67EBD" w:rsidRPr="004A0257" w:rsidRDefault="00F67EBD" w:rsidP="00AC6C28">
            <w:pPr>
              <w:spacing w:after="0" w:line="240" w:lineRule="auto"/>
              <w:rPr>
                <w:rFonts w:cs="Arial"/>
              </w:rPr>
            </w:pPr>
          </w:p>
        </w:tc>
      </w:tr>
    </w:tbl>
    <w:p w:rsidR="00F67EBD" w:rsidRPr="00B70470" w:rsidRDefault="00F67EBD" w:rsidP="00F67EBD">
      <w:pPr>
        <w:pStyle w:val="Listenabsatz"/>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1"/>
        <w:gridCol w:w="5840"/>
      </w:tblGrid>
      <w:tr w:rsidR="00F67EBD" w:rsidRPr="00CA2EF9" w:rsidTr="00AC6C28">
        <w:tc>
          <w:tcPr>
            <w:tcW w:w="9781" w:type="dxa"/>
            <w:gridSpan w:val="2"/>
            <w:shd w:val="clear" w:color="auto" w:fill="BFBFBF"/>
            <w:vAlign w:val="center"/>
          </w:tcPr>
          <w:p w:rsidR="00F67EBD" w:rsidRPr="00CA2EF9" w:rsidRDefault="00F67EBD" w:rsidP="00F67EBD">
            <w:pPr>
              <w:pStyle w:val="Listenabsatz"/>
              <w:numPr>
                <w:ilvl w:val="0"/>
                <w:numId w:val="48"/>
              </w:numPr>
            </w:pPr>
            <w:r>
              <w:t>Mitgeltende Unterlagen</w:t>
            </w:r>
          </w:p>
        </w:tc>
      </w:tr>
      <w:tr w:rsidR="00F67EBD" w:rsidRPr="00CA2EF9" w:rsidTr="00AC6C28">
        <w:tc>
          <w:tcPr>
            <w:tcW w:w="3941" w:type="dxa"/>
            <w:shd w:val="clear" w:color="auto" w:fill="BFBFBF"/>
          </w:tcPr>
          <w:p w:rsidR="00F67EBD" w:rsidRPr="00CA2EF9" w:rsidRDefault="00F67EBD" w:rsidP="00AC6C28">
            <w:pPr>
              <w:spacing w:after="0" w:line="240" w:lineRule="auto"/>
              <w:rPr>
                <w:rFonts w:cs="Arial"/>
                <w:b/>
              </w:rPr>
            </w:pPr>
            <w:r>
              <w:rPr>
                <w:rFonts w:cs="Arial"/>
                <w:b/>
              </w:rPr>
              <w:t>Mitgeltende Unterlagen</w:t>
            </w:r>
          </w:p>
        </w:tc>
        <w:tc>
          <w:tcPr>
            <w:tcW w:w="5840" w:type="dxa"/>
          </w:tcPr>
          <w:p w:rsidR="00F67EBD" w:rsidRPr="004A0257" w:rsidRDefault="00F67EBD" w:rsidP="00AC6C28">
            <w:pPr>
              <w:spacing w:after="0" w:line="240" w:lineRule="auto"/>
              <w:rPr>
                <w:rFonts w:cs="Arial"/>
              </w:rPr>
            </w:pPr>
            <w:r>
              <w:rPr>
                <w:rFonts w:cs="Arial"/>
              </w:rPr>
              <w:t>Checkliste für die Dokumentation der Herausgabe oder Ablehnung – Revision 1.0</w:t>
            </w:r>
          </w:p>
        </w:tc>
      </w:tr>
    </w:tbl>
    <w:p w:rsidR="00697156" w:rsidRDefault="00697156" w:rsidP="00697156">
      <w:pPr>
        <w:spacing w:after="0" w:line="240" w:lineRule="auto"/>
        <w:rPr>
          <w:rFonts w:cs="Arial"/>
        </w:rPr>
      </w:pPr>
    </w:p>
    <w:p w:rsidR="00697156" w:rsidRDefault="00697156" w:rsidP="00F67EBD">
      <w:pPr>
        <w:pStyle w:val="Listenabsatz"/>
      </w:pPr>
    </w:p>
    <w:p w:rsidR="00697156" w:rsidRPr="00526656" w:rsidRDefault="00697156" w:rsidP="00697156">
      <w:pPr>
        <w:rPr>
          <w:rFonts w:cs="Arial"/>
        </w:rPr>
      </w:pPr>
    </w:p>
    <w:p w:rsidR="003C4ED9" w:rsidRDefault="003C4ED9" w:rsidP="00CD1406"/>
    <w:sectPr w:rsidR="003C4ED9" w:rsidSect="00B70EC3">
      <w:headerReference w:type="default" r:id="rId8"/>
      <w:footerReference w:type="default" r:id="rId9"/>
      <w:headerReference w:type="first" r:id="rId10"/>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01" w:rsidRDefault="008D0101">
      <w:r>
        <w:separator/>
      </w:r>
    </w:p>
  </w:endnote>
  <w:endnote w:type="continuationSeparator" w:id="0">
    <w:p w:rsidR="008D0101" w:rsidRDefault="008D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697156" w:rsidP="004A1FDE">
    <w:pPr>
      <w:pStyle w:val="Fuzeile"/>
      <w:tabs>
        <w:tab w:val="clear" w:pos="9072"/>
        <w:tab w:val="right" w:pos="9639"/>
      </w:tabs>
      <w:spacing w:line="240" w:lineRule="auto"/>
      <w:rPr>
        <w:sz w:val="16"/>
      </w:rPr>
    </w:pPr>
    <w:proofErr w:type="spellStart"/>
    <w:r>
      <w:rPr>
        <w:sz w:val="16"/>
      </w:rPr>
      <w:t>Verfahrensbeschreibung_Auskunftsersuchen</w:t>
    </w:r>
    <w:r w:rsidR="00F24450">
      <w:rPr>
        <w:sz w:val="16"/>
      </w:rPr>
      <w:t>_Revision</w:t>
    </w:r>
    <w:proofErr w:type="spellEnd"/>
    <w:r w:rsidR="00F24450">
      <w:rPr>
        <w:sz w:val="16"/>
      </w:rPr>
      <w:t xml:space="preserve">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F67EBD">
      <w:rPr>
        <w:noProof/>
        <w:sz w:val="16"/>
      </w:rPr>
      <w:t>3</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F67EBD">
      <w:rPr>
        <w:noProof/>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01" w:rsidRDefault="008D0101">
      <w:r>
        <w:separator/>
      </w:r>
    </w:p>
  </w:footnote>
  <w:footnote w:type="continuationSeparator" w:id="0">
    <w:p w:rsidR="008D0101" w:rsidRDefault="008D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contextualSpacing/>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contextualSpacing/>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contextualSpacing/>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DAB"/>
    <w:multiLevelType w:val="hybridMultilevel"/>
    <w:tmpl w:val="B852C4A2"/>
    <w:lvl w:ilvl="0" w:tplc="2BDE3424">
      <w:start w:val="1"/>
      <w:numFmt w:val="decimal"/>
      <w:lvlText w:val="%1."/>
      <w:lvlJc w:val="left"/>
      <w:pPr>
        <w:ind w:left="360" w:hanging="360"/>
      </w:pPr>
      <w:rPr>
        <w:rFonts w:cs="Times New Roman"/>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B337540"/>
    <w:multiLevelType w:val="hybridMultilevel"/>
    <w:tmpl w:val="616A810C"/>
    <w:lvl w:ilvl="0" w:tplc="E4C61322">
      <w:start w:val="1"/>
      <w:numFmt w:val="decimal"/>
      <w:lvlText w:val="%1."/>
      <w:lvlJc w:val="left"/>
      <w:pPr>
        <w:ind w:left="360" w:hanging="360"/>
      </w:pPr>
      <w:rPr>
        <w:rFonts w:cs="Times New Roman"/>
        <w:b/>
        <w:sz w:val="28"/>
        <w:szCs w:val="2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C1369AE"/>
    <w:multiLevelType w:val="hybridMultilevel"/>
    <w:tmpl w:val="3D205DAA"/>
    <w:lvl w:ilvl="0" w:tplc="6B784008">
      <w:start w:val="1"/>
      <w:numFmt w:val="bullet"/>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6"/>
  </w:num>
  <w:num w:numId="4">
    <w:abstractNumId w:val="17"/>
    <w:lvlOverride w:ilvl="0">
      <w:startOverride w:val="1"/>
    </w:lvlOverride>
  </w:num>
  <w:num w:numId="5">
    <w:abstractNumId w:val="17"/>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4"/>
  </w:num>
  <w:num w:numId="30">
    <w:abstractNumId w:val="17"/>
    <w:lvlOverride w:ilvl="0">
      <w:startOverride w:val="1"/>
    </w:lvlOverride>
  </w:num>
  <w:num w:numId="31">
    <w:abstractNumId w:val="3"/>
  </w:num>
  <w:num w:numId="32">
    <w:abstractNumId w:val="17"/>
    <w:lvlOverride w:ilvl="0">
      <w:startOverride w:val="1"/>
    </w:lvlOverride>
  </w:num>
  <w:num w:numId="33">
    <w:abstractNumId w:val="5"/>
  </w:num>
  <w:num w:numId="34">
    <w:abstractNumId w:val="17"/>
    <w:lvlOverride w:ilvl="0">
      <w:startOverride w:val="1"/>
    </w:lvlOverride>
  </w:num>
  <w:num w:numId="35">
    <w:abstractNumId w:val="16"/>
  </w:num>
  <w:num w:numId="36">
    <w:abstractNumId w:val="4"/>
  </w:num>
  <w:num w:numId="37">
    <w:abstractNumId w:val="10"/>
  </w:num>
  <w:num w:numId="38">
    <w:abstractNumId w:val="17"/>
    <w:lvlOverride w:ilvl="0">
      <w:startOverride w:val="1"/>
    </w:lvlOverride>
  </w:num>
  <w:num w:numId="39">
    <w:abstractNumId w:val="1"/>
  </w:num>
  <w:num w:numId="40">
    <w:abstractNumId w:val="17"/>
    <w:lvlOverride w:ilvl="0">
      <w:startOverride w:val="1"/>
    </w:lvlOverride>
  </w:num>
  <w:num w:numId="41">
    <w:abstractNumId w:val="7"/>
  </w:num>
  <w:num w:numId="42">
    <w:abstractNumId w:val="2"/>
  </w:num>
  <w:num w:numId="43">
    <w:abstractNumId w:val="11"/>
  </w:num>
  <w:num w:numId="44">
    <w:abstractNumId w:val="8"/>
  </w:num>
  <w:num w:numId="45">
    <w:abstractNumId w:val="13"/>
  </w:num>
  <w:num w:numId="46">
    <w:abstractNumId w:val="18"/>
  </w:num>
  <w:num w:numId="47">
    <w:abstractNumId w:val="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56"/>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0E435F"/>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0044"/>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156"/>
    <w:rsid w:val="00697488"/>
    <w:rsid w:val="006A22C2"/>
    <w:rsid w:val="006A6175"/>
    <w:rsid w:val="006A647B"/>
    <w:rsid w:val="006B2788"/>
    <w:rsid w:val="006D1D95"/>
    <w:rsid w:val="006E1DD9"/>
    <w:rsid w:val="006E2AFA"/>
    <w:rsid w:val="006E5915"/>
    <w:rsid w:val="006E7DAD"/>
    <w:rsid w:val="006F121D"/>
    <w:rsid w:val="006F25CC"/>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7D24F0"/>
    <w:rsid w:val="00802197"/>
    <w:rsid w:val="00802D80"/>
    <w:rsid w:val="008248EE"/>
    <w:rsid w:val="0083040F"/>
    <w:rsid w:val="00833B33"/>
    <w:rsid w:val="00854970"/>
    <w:rsid w:val="00855D8E"/>
    <w:rsid w:val="00857CFF"/>
    <w:rsid w:val="00881A12"/>
    <w:rsid w:val="008850B4"/>
    <w:rsid w:val="00893690"/>
    <w:rsid w:val="008A40CC"/>
    <w:rsid w:val="008C23E7"/>
    <w:rsid w:val="008D0101"/>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1B43"/>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470"/>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A200E"/>
    <w:rsid w:val="00DB0F6C"/>
    <w:rsid w:val="00DD1D47"/>
    <w:rsid w:val="00DE31FF"/>
    <w:rsid w:val="00DF15AB"/>
    <w:rsid w:val="00E12D2B"/>
    <w:rsid w:val="00E22977"/>
    <w:rsid w:val="00E24EC5"/>
    <w:rsid w:val="00E3625D"/>
    <w:rsid w:val="00E463B9"/>
    <w:rsid w:val="00E577A0"/>
    <w:rsid w:val="00E64FB6"/>
    <w:rsid w:val="00EA01FB"/>
    <w:rsid w:val="00EA1938"/>
    <w:rsid w:val="00EB36E5"/>
    <w:rsid w:val="00EB38A5"/>
    <w:rsid w:val="00EB63D6"/>
    <w:rsid w:val="00EC4EC9"/>
    <w:rsid w:val="00EE6C38"/>
    <w:rsid w:val="00EF23EF"/>
    <w:rsid w:val="00F01E75"/>
    <w:rsid w:val="00F02D19"/>
    <w:rsid w:val="00F11A65"/>
    <w:rsid w:val="00F15301"/>
    <w:rsid w:val="00F24450"/>
    <w:rsid w:val="00F374F1"/>
    <w:rsid w:val="00F3770F"/>
    <w:rsid w:val="00F46886"/>
    <w:rsid w:val="00F550D4"/>
    <w:rsid w:val="00F5617F"/>
    <w:rsid w:val="00F6740D"/>
    <w:rsid w:val="00F67EB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88F6049"/>
  <w15:docId w15:val="{2550327C-11A8-4D86-8FFF-F93EC7F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97156"/>
    <w:pPr>
      <w:spacing w:after="200" w:line="276" w:lineRule="auto"/>
      <w:jc w:val="left"/>
    </w:pPr>
    <w:rPr>
      <w:rFonts w:ascii="Arial" w:eastAsia="Calibri" w:hAnsi="Arial" w:cs="Times New Roman"/>
      <w:sz w:val="22"/>
      <w:szCs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99"/>
    <w:qFormat/>
    <w:rsid w:val="00F67EBD"/>
    <w:pPr>
      <w:ind w:left="360"/>
      <w:contextualSpacing/>
      <w:jc w:val="both"/>
    </w:pPr>
    <w:rPr>
      <w:rFonts w:cs="Arial"/>
      <w:b/>
      <w:sz w:val="28"/>
      <w:szCs w:val="28"/>
    </w:r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8743-4089-4350-8168-F66E44BC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5863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Schaeufele, Stefanie</cp:lastModifiedBy>
  <cp:revision>7</cp:revision>
  <cp:lastPrinted>2014-08-25T16:17:00Z</cp:lastPrinted>
  <dcterms:created xsi:type="dcterms:W3CDTF">2020-02-05T12:06:00Z</dcterms:created>
  <dcterms:modified xsi:type="dcterms:W3CDTF">2020-02-26T11:25:00Z</dcterms:modified>
</cp:coreProperties>
</file>